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84F5" w14:textId="77777777" w:rsidR="005F737B" w:rsidRPr="00936563" w:rsidRDefault="005F737B" w:rsidP="005F737B">
      <w:pPr>
        <w:jc w:val="center"/>
        <w:outlineLvl w:val="0"/>
        <w:rPr>
          <w:u w:val="single"/>
        </w:rPr>
      </w:pPr>
      <w:r w:rsidRPr="00936563">
        <w:rPr>
          <w:u w:val="single"/>
        </w:rPr>
        <w:t>BEFORE THE NATIONAL ADJUDICATORY COUNCIL</w:t>
      </w:r>
    </w:p>
    <w:p w14:paraId="7E0864FF" w14:textId="77777777" w:rsidR="005F737B" w:rsidRPr="00936563" w:rsidRDefault="005F737B" w:rsidP="005F737B">
      <w:pPr>
        <w:jc w:val="center"/>
        <w:rPr>
          <w:u w:val="single"/>
        </w:rPr>
      </w:pPr>
    </w:p>
    <w:p w14:paraId="23177B1B" w14:textId="77777777" w:rsidR="005F737B" w:rsidRPr="00936563" w:rsidRDefault="005F737B" w:rsidP="005F737B">
      <w:pPr>
        <w:jc w:val="center"/>
        <w:outlineLvl w:val="0"/>
        <w:rPr>
          <w:u w:val="single"/>
        </w:rPr>
      </w:pPr>
      <w:r w:rsidRPr="00936563">
        <w:rPr>
          <w:u w:val="single"/>
        </w:rPr>
        <w:t>FINANCIAL INDUSTRY REGULATORY AUTHORITY</w:t>
      </w:r>
    </w:p>
    <w:p w14:paraId="56DA8702" w14:textId="77777777" w:rsidR="005F737B" w:rsidRPr="00936563" w:rsidRDefault="005F737B" w:rsidP="005F737B">
      <w:pPr>
        <w:jc w:val="center"/>
        <w:outlineLvl w:val="0"/>
        <w:rPr>
          <w:u w:val="single"/>
        </w:rPr>
      </w:pPr>
    </w:p>
    <w:tbl>
      <w:tblPr>
        <w:tblW w:w="9360" w:type="dxa"/>
        <w:tblInd w:w="134" w:type="dxa"/>
        <w:tblLayout w:type="fixed"/>
        <w:tblCellMar>
          <w:left w:w="134" w:type="dxa"/>
          <w:right w:w="134" w:type="dxa"/>
        </w:tblCellMar>
        <w:tblLook w:val="0000" w:firstRow="0" w:lastRow="0" w:firstColumn="0" w:lastColumn="0" w:noHBand="0" w:noVBand="0"/>
      </w:tblPr>
      <w:tblGrid>
        <w:gridCol w:w="4680"/>
        <w:gridCol w:w="4680"/>
      </w:tblGrid>
      <w:tr w:rsidR="005F737B" w:rsidRPr="00DA6754" w14:paraId="6013848F" w14:textId="77777777" w:rsidTr="00D16417">
        <w:trPr>
          <w:trHeight w:val="3018"/>
        </w:trPr>
        <w:tc>
          <w:tcPr>
            <w:tcW w:w="4680" w:type="dxa"/>
            <w:tcBorders>
              <w:top w:val="single" w:sz="6" w:space="0" w:color="000000"/>
              <w:left w:val="single" w:sz="6" w:space="0" w:color="FFFFFF"/>
              <w:bottom w:val="single" w:sz="6" w:space="0" w:color="000000"/>
              <w:right w:val="single" w:sz="6" w:space="0" w:color="000000"/>
            </w:tcBorders>
          </w:tcPr>
          <w:p w14:paraId="187A4D84" w14:textId="77777777" w:rsidR="005F737B" w:rsidRPr="00936563" w:rsidRDefault="005F737B" w:rsidP="00D16417"/>
          <w:p w14:paraId="26FC891C" w14:textId="77777777" w:rsidR="005F737B" w:rsidRPr="00BD4E4E" w:rsidRDefault="005F737B" w:rsidP="00D16417">
            <w:r w:rsidRPr="00BD4E4E">
              <w:t>In the Matter of the Continued Membership</w:t>
            </w:r>
          </w:p>
          <w:p w14:paraId="4124CDF0" w14:textId="77777777" w:rsidR="005F737B" w:rsidRPr="00403C43" w:rsidRDefault="005F737B" w:rsidP="00D16417"/>
          <w:p w14:paraId="3BFD5711" w14:textId="60FAE25C" w:rsidR="005F737B" w:rsidRDefault="005F737B" w:rsidP="00D16417">
            <w:r w:rsidRPr="00DA6754">
              <w:t>of</w:t>
            </w:r>
          </w:p>
          <w:p w14:paraId="13CACECC" w14:textId="1E716041" w:rsidR="0094705D" w:rsidRDefault="0094705D" w:rsidP="00D16417"/>
          <w:p w14:paraId="0101E9B7" w14:textId="23217723" w:rsidR="005F737B" w:rsidRPr="00DA6754" w:rsidRDefault="00294793" w:rsidP="00294793">
            <w:r>
              <w:t>BTIG, LLC</w:t>
            </w:r>
          </w:p>
          <w:p w14:paraId="7998A904" w14:textId="77777777" w:rsidR="005F737B" w:rsidRPr="00DA6754" w:rsidRDefault="005F737B" w:rsidP="00D16417">
            <w:pPr>
              <w:jc w:val="center"/>
            </w:pPr>
          </w:p>
          <w:p w14:paraId="7098FD14" w14:textId="77777777" w:rsidR="005F737B" w:rsidRPr="00DA6754" w:rsidRDefault="005F737B" w:rsidP="00D16417">
            <w:r w:rsidRPr="00DA6754">
              <w:t>with</w:t>
            </w:r>
          </w:p>
          <w:p w14:paraId="3831E792" w14:textId="77777777" w:rsidR="005F737B" w:rsidRPr="00DA6754" w:rsidRDefault="005F737B" w:rsidP="00D16417"/>
          <w:p w14:paraId="6D8D96E4" w14:textId="77777777" w:rsidR="005F737B" w:rsidRPr="00DA6754" w:rsidRDefault="005F737B" w:rsidP="00D16417">
            <w:r w:rsidRPr="00DA6754">
              <w:t>FINRA</w:t>
            </w:r>
          </w:p>
        </w:tc>
        <w:tc>
          <w:tcPr>
            <w:tcW w:w="4680" w:type="dxa"/>
            <w:tcBorders>
              <w:top w:val="single" w:sz="6" w:space="0" w:color="FFFFFF"/>
              <w:left w:val="single" w:sz="6" w:space="0" w:color="FFFFFF"/>
              <w:bottom w:val="single" w:sz="6" w:space="0" w:color="FFFFFF"/>
              <w:right w:val="single" w:sz="6" w:space="0" w:color="FFFFFF"/>
            </w:tcBorders>
          </w:tcPr>
          <w:p w14:paraId="6BE29446" w14:textId="77777777" w:rsidR="005F737B" w:rsidRPr="00DA6754" w:rsidRDefault="005F737B" w:rsidP="00D16417"/>
          <w:p w14:paraId="6E5F2D8C" w14:textId="37FEEDC0" w:rsidR="005F737B" w:rsidRPr="00DA6754" w:rsidRDefault="005F737B" w:rsidP="00D16417">
            <w:r w:rsidRPr="00DA6754">
              <w:rPr>
                <w:u w:val="single"/>
              </w:rPr>
              <w:t>Notice Pursuant to</w:t>
            </w:r>
          </w:p>
          <w:p w14:paraId="54635842" w14:textId="77777777" w:rsidR="005F737B" w:rsidRPr="00DA6754" w:rsidRDefault="005F737B" w:rsidP="00D16417">
            <w:r w:rsidRPr="00DA6754">
              <w:rPr>
                <w:u w:val="single"/>
              </w:rPr>
              <w:t>Rule 19h-1</w:t>
            </w:r>
          </w:p>
          <w:p w14:paraId="023DB452" w14:textId="77777777" w:rsidR="005F737B" w:rsidRPr="00DA6754" w:rsidRDefault="005F737B" w:rsidP="00D16417">
            <w:r w:rsidRPr="00DA6754">
              <w:rPr>
                <w:u w:val="single"/>
              </w:rPr>
              <w:t>Securities Exchange Act</w:t>
            </w:r>
          </w:p>
          <w:p w14:paraId="143B6730" w14:textId="77777777" w:rsidR="005F737B" w:rsidRPr="00DA6754" w:rsidRDefault="005F737B" w:rsidP="00D16417">
            <w:r w:rsidRPr="00DA6754">
              <w:rPr>
                <w:u w:val="single"/>
              </w:rPr>
              <w:t>of 1934</w:t>
            </w:r>
          </w:p>
          <w:p w14:paraId="45F25529" w14:textId="77777777" w:rsidR="005F737B" w:rsidRPr="00DA6754" w:rsidRDefault="005F737B" w:rsidP="00D16417"/>
          <w:p w14:paraId="7CB9E3A0" w14:textId="662F184F" w:rsidR="005F737B" w:rsidRPr="00DA6754" w:rsidRDefault="005F737B" w:rsidP="00D16417">
            <w:pPr>
              <w:pStyle w:val="Heading9"/>
              <w:jc w:val="left"/>
              <w:rPr>
                <w:szCs w:val="24"/>
              </w:rPr>
            </w:pPr>
            <w:r w:rsidRPr="00DA6754">
              <w:rPr>
                <w:szCs w:val="24"/>
              </w:rPr>
              <w:t>SD-</w:t>
            </w:r>
            <w:r>
              <w:rPr>
                <w:szCs w:val="24"/>
              </w:rPr>
              <w:t>2</w:t>
            </w:r>
            <w:r w:rsidR="00294793">
              <w:rPr>
                <w:szCs w:val="24"/>
              </w:rPr>
              <w:t>325</w:t>
            </w:r>
          </w:p>
          <w:p w14:paraId="025E7A3F" w14:textId="77777777" w:rsidR="005F737B" w:rsidRPr="00DA6754" w:rsidRDefault="005F737B" w:rsidP="00D16417"/>
          <w:p w14:paraId="7D8485F2" w14:textId="77DC5760" w:rsidR="005F737B" w:rsidRPr="004B2440" w:rsidRDefault="005F737B" w:rsidP="001A7F96">
            <w:pPr>
              <w:spacing w:after="14"/>
              <w:rPr>
                <w:bCs/>
              </w:rPr>
            </w:pPr>
            <w:r w:rsidRPr="004B2440">
              <w:rPr>
                <w:bCs/>
              </w:rPr>
              <w:t xml:space="preserve">Date: </w:t>
            </w:r>
            <w:r w:rsidR="00FE087D">
              <w:rPr>
                <w:bCs/>
              </w:rPr>
              <w:t xml:space="preserve"> </w:t>
            </w:r>
            <w:r w:rsidR="005D6598">
              <w:rPr>
                <w:bCs/>
              </w:rPr>
              <w:t xml:space="preserve">October </w:t>
            </w:r>
            <w:r w:rsidR="0025729E">
              <w:rPr>
                <w:bCs/>
              </w:rPr>
              <w:t>2</w:t>
            </w:r>
            <w:r w:rsidR="00804955">
              <w:rPr>
                <w:bCs/>
              </w:rPr>
              <w:t>5</w:t>
            </w:r>
            <w:r>
              <w:rPr>
                <w:bCs/>
              </w:rPr>
              <w:t>,</w:t>
            </w:r>
            <w:r w:rsidRPr="004B2440">
              <w:rPr>
                <w:bCs/>
              </w:rPr>
              <w:t xml:space="preserve"> 20</w:t>
            </w:r>
            <w:r w:rsidR="00294793">
              <w:rPr>
                <w:bCs/>
              </w:rPr>
              <w:t>23</w:t>
            </w:r>
          </w:p>
        </w:tc>
      </w:tr>
    </w:tbl>
    <w:p w14:paraId="79D364B0" w14:textId="77777777" w:rsidR="0094705D" w:rsidRDefault="0094705D" w:rsidP="0094705D"/>
    <w:p w14:paraId="6259B5C2" w14:textId="77777777" w:rsidR="002E56CF" w:rsidRPr="00B941BA" w:rsidRDefault="0053000A" w:rsidP="00E067D7">
      <w:pPr>
        <w:pStyle w:val="ListParagraph"/>
        <w:numPr>
          <w:ilvl w:val="0"/>
          <w:numId w:val="1"/>
        </w:numPr>
        <w:ind w:left="720"/>
        <w:rPr>
          <w:b/>
          <w:bCs/>
        </w:rPr>
      </w:pPr>
      <w:r w:rsidRPr="00B941BA">
        <w:rPr>
          <w:b/>
          <w:bCs/>
        </w:rPr>
        <w:t>Introduction</w:t>
      </w:r>
    </w:p>
    <w:p w14:paraId="269EBEB3" w14:textId="77777777" w:rsidR="0053000A" w:rsidRPr="00B941BA" w:rsidRDefault="00885149" w:rsidP="00D210A6">
      <w:pPr>
        <w:tabs>
          <w:tab w:val="left" w:pos="1545"/>
        </w:tabs>
        <w:rPr>
          <w:b/>
          <w:bCs/>
        </w:rPr>
      </w:pPr>
      <w:r w:rsidRPr="00B941BA">
        <w:rPr>
          <w:b/>
          <w:bCs/>
        </w:rPr>
        <w:tab/>
      </w:r>
    </w:p>
    <w:p w14:paraId="3306B018" w14:textId="3B3CEA0F" w:rsidR="000D1CA0" w:rsidRPr="00DA6754" w:rsidRDefault="00DD2111" w:rsidP="00D210A6">
      <w:pPr>
        <w:ind w:firstLine="720"/>
      </w:pPr>
      <w:r w:rsidRPr="00B212C3">
        <w:t xml:space="preserve">On </w:t>
      </w:r>
      <w:r w:rsidR="00294793">
        <w:t>May 25, 2022</w:t>
      </w:r>
      <w:r w:rsidR="000C309B">
        <w:t xml:space="preserve">, </w:t>
      </w:r>
      <w:r w:rsidR="00CB0E5E">
        <w:t>B</w:t>
      </w:r>
      <w:r w:rsidR="00294793">
        <w:t>TIG, LLC (</w:t>
      </w:r>
      <w:r w:rsidRPr="00B212C3">
        <w:t xml:space="preserve">the “Firm”) </w:t>
      </w:r>
      <w:r w:rsidR="00751561" w:rsidRPr="00B941BA">
        <w:t xml:space="preserve">submitted </w:t>
      </w:r>
      <w:r w:rsidR="0094705D">
        <w:t xml:space="preserve">to FINRA </w:t>
      </w:r>
      <w:r w:rsidR="00751561" w:rsidRPr="00B941BA">
        <w:t>a Membership Continuance Application (“MC-400A” or “</w:t>
      </w:r>
      <w:r w:rsidR="00311F46">
        <w:t xml:space="preserve">the </w:t>
      </w:r>
      <w:r w:rsidR="00751561" w:rsidRPr="00B941BA">
        <w:t>Application”).</w:t>
      </w:r>
      <w:r w:rsidR="000D1CA0">
        <w:t xml:space="preserve"> </w:t>
      </w:r>
      <w:r w:rsidR="00751561" w:rsidRPr="00B941BA">
        <w:t xml:space="preserve"> </w:t>
      </w:r>
      <w:r w:rsidR="00C40C5E">
        <w:t>T</w:t>
      </w:r>
      <w:r w:rsidR="00751561" w:rsidRPr="00B941BA">
        <w:t>he Application seeks to permit the Firm, a FINRA member subject to a statutory disqualification, to continue its membership with FINRA.</w:t>
      </w:r>
      <w:r w:rsidR="000D1CA0">
        <w:t xml:space="preserve"> </w:t>
      </w:r>
      <w:r w:rsidR="00591040" w:rsidRPr="00B941BA">
        <w:t xml:space="preserve"> </w:t>
      </w:r>
      <w:bookmarkStart w:id="0" w:name="_Hlk66864403"/>
      <w:r w:rsidR="00751561" w:rsidRPr="00B941BA">
        <w:t>A hear</w:t>
      </w:r>
      <w:r w:rsidR="000D1CA0">
        <w:t xml:space="preserve">ing was not held in this matter. </w:t>
      </w:r>
      <w:r w:rsidR="00751561" w:rsidRPr="00B941BA">
        <w:t xml:space="preserve"> </w:t>
      </w:r>
      <w:r w:rsidR="000D1CA0" w:rsidRPr="00DA6754">
        <w:t xml:space="preserve">Rather, pursuant to FINRA Rule 9523(a), FINRA’s Department of Member </w:t>
      </w:r>
      <w:r>
        <w:t>Supervision</w:t>
      </w:r>
      <w:r w:rsidR="00350209">
        <w:t xml:space="preserve"> </w:t>
      </w:r>
      <w:r w:rsidR="000D1CA0" w:rsidRPr="00DA6754">
        <w:t xml:space="preserve">(“Member </w:t>
      </w:r>
      <w:r>
        <w:t>Supervision</w:t>
      </w:r>
      <w:r w:rsidR="000D1CA0" w:rsidRPr="00DA6754">
        <w:t>”) recommend</w:t>
      </w:r>
      <w:r w:rsidR="000E3C39">
        <w:t>ed</w:t>
      </w:r>
      <w:r w:rsidR="000D1CA0" w:rsidRPr="00DA6754">
        <w:t xml:space="preserve"> that the Chair</w:t>
      </w:r>
      <w:r w:rsidR="00311F46">
        <w:t>person</w:t>
      </w:r>
      <w:r w:rsidR="000D1CA0" w:rsidRPr="00DA6754">
        <w:t xml:space="preserve"> of the Statutory Disqualification Committee, acting on behalf of the National Adjudicatory Council, approve the Firm’s continued membership with FINRA pursuant to the terms and conditions set forth below.</w:t>
      </w:r>
    </w:p>
    <w:bookmarkEnd w:id="0"/>
    <w:p w14:paraId="229E651C" w14:textId="77777777" w:rsidR="000D1CA0" w:rsidRDefault="000D1CA0" w:rsidP="00D210A6">
      <w:pPr>
        <w:ind w:firstLine="720"/>
      </w:pPr>
    </w:p>
    <w:p w14:paraId="3199953A" w14:textId="5F30BDA5" w:rsidR="000D1CA0" w:rsidRDefault="000D1CA0" w:rsidP="00D210A6">
      <w:pPr>
        <w:pStyle w:val="BodyTextIndent2"/>
      </w:pPr>
      <w:r>
        <w:t>For the reasons explained below, we approve the Application.</w:t>
      </w:r>
      <w:r w:rsidR="0076536C" w:rsidRPr="0076536C">
        <w:rPr>
          <w:b/>
          <w:bCs/>
          <w:color w:val="080808"/>
        </w:rPr>
        <w:t xml:space="preserve"> </w:t>
      </w:r>
      <w:r w:rsidR="0076536C">
        <w:rPr>
          <w:b/>
          <w:bCs/>
          <w:color w:val="080808"/>
        </w:rPr>
        <w:t xml:space="preserve"> </w:t>
      </w:r>
    </w:p>
    <w:p w14:paraId="6BFE926E" w14:textId="77777777" w:rsidR="00534D6A" w:rsidRDefault="00534D6A" w:rsidP="00D210A6">
      <w:pPr>
        <w:pStyle w:val="BodyTextIndent2"/>
      </w:pPr>
    </w:p>
    <w:p w14:paraId="2044874A" w14:textId="77777777" w:rsidR="002B7FC0" w:rsidRDefault="002B7FC0" w:rsidP="00D210A6">
      <w:pPr>
        <w:ind w:left="720" w:hanging="720"/>
        <w:outlineLvl w:val="0"/>
        <w:rPr>
          <w:b/>
        </w:rPr>
      </w:pPr>
      <w:r w:rsidRPr="00B941BA">
        <w:rPr>
          <w:b/>
        </w:rPr>
        <w:t xml:space="preserve">II. </w:t>
      </w:r>
      <w:r w:rsidRPr="00B941BA">
        <w:rPr>
          <w:b/>
        </w:rPr>
        <w:tab/>
        <w:t>The Statutorily Disqualifying Event</w:t>
      </w:r>
    </w:p>
    <w:p w14:paraId="0006E925" w14:textId="77777777" w:rsidR="000D1CA0" w:rsidRPr="00B941BA" w:rsidRDefault="000D1CA0" w:rsidP="00D210A6">
      <w:pPr>
        <w:ind w:left="720" w:hanging="720"/>
        <w:outlineLvl w:val="0"/>
        <w:rPr>
          <w:b/>
        </w:rPr>
      </w:pPr>
    </w:p>
    <w:p w14:paraId="2946D4D7" w14:textId="7CAD3646" w:rsidR="001D0836" w:rsidRPr="001D0836" w:rsidRDefault="001D0836" w:rsidP="006C12F3">
      <w:pPr>
        <w:widowControl/>
        <w:ind w:firstLine="720"/>
      </w:pPr>
      <w:r>
        <w:t>The Firm</w:t>
      </w:r>
      <w:r w:rsidRPr="00B941BA">
        <w:rPr>
          <w:color w:val="080808"/>
        </w:rPr>
        <w:t xml:space="preserve"> is subject to a statutory disqualification </w:t>
      </w:r>
      <w:r>
        <w:rPr>
          <w:color w:val="080808"/>
        </w:rPr>
        <w:t xml:space="preserve">because </w:t>
      </w:r>
      <w:r w:rsidRPr="00B941BA">
        <w:rPr>
          <w:color w:val="080808"/>
        </w:rPr>
        <w:t>of</w:t>
      </w:r>
      <w:r>
        <w:rPr>
          <w:color w:val="080808"/>
        </w:rPr>
        <w:t xml:space="preserve"> a </w:t>
      </w:r>
      <w:r w:rsidR="00294793">
        <w:t>May 2, 2022</w:t>
      </w:r>
      <w:r>
        <w:t xml:space="preserve"> final judgment (the “Final Judgment”) entered by the United States District Court for the </w:t>
      </w:r>
      <w:r w:rsidR="00294793">
        <w:t>Southern District of New York</w:t>
      </w:r>
      <w:r>
        <w:rPr>
          <w:color w:val="080808"/>
        </w:rPr>
        <w:t xml:space="preserve">.  The Final Judgment </w:t>
      </w:r>
      <w:r>
        <w:t xml:space="preserve">permanently enjoined the Firm from violating </w:t>
      </w:r>
      <w:r w:rsidR="00294793">
        <w:t>Rules 200(g) and 203(b)(1) of Regulation SHO under the Securities Exchange Act of 1934 (“Exchange Act”)</w:t>
      </w:r>
      <w:r>
        <w:rPr>
          <w:color w:val="080808"/>
        </w:rPr>
        <w:t>.</w:t>
      </w:r>
      <w:r w:rsidRPr="00DA6754">
        <w:rPr>
          <w:rStyle w:val="FootnoteReference"/>
        </w:rPr>
        <w:footnoteReference w:id="2"/>
      </w:r>
      <w:r>
        <w:rPr>
          <w:color w:val="080808"/>
        </w:rPr>
        <w:t xml:space="preserve">  Pursuant to the Final Judgment, the Firm </w:t>
      </w:r>
      <w:r>
        <w:t>was ordered to pay $</w:t>
      </w:r>
      <w:r w:rsidR="00294793">
        <w:t>694,354</w:t>
      </w:r>
      <w:r>
        <w:t xml:space="preserve">, </w:t>
      </w:r>
      <w:r w:rsidR="006A393D">
        <w:t xml:space="preserve">composed </w:t>
      </w:r>
      <w:r>
        <w:t>of disgorgement of $</w:t>
      </w:r>
      <w:r w:rsidR="00294793">
        <w:t>315,048</w:t>
      </w:r>
      <w:r>
        <w:t>, prejudgment interest of $</w:t>
      </w:r>
      <w:r w:rsidR="00294793">
        <w:t>64,258</w:t>
      </w:r>
      <w:r>
        <w:t>, and a civil penalty of $</w:t>
      </w:r>
      <w:r w:rsidR="00294793">
        <w:t>315,048</w:t>
      </w:r>
      <w:r>
        <w:t xml:space="preserve">.  The Firm paid these amounts in full.  </w:t>
      </w:r>
      <w:r>
        <w:rPr>
          <w:color w:val="080808"/>
        </w:rPr>
        <w:t xml:space="preserve">  </w:t>
      </w:r>
    </w:p>
    <w:p w14:paraId="1D6009A9" w14:textId="77777777" w:rsidR="001D0836" w:rsidRDefault="001D0836" w:rsidP="001D0836">
      <w:pPr>
        <w:ind w:firstLine="720"/>
        <w:rPr>
          <w:color w:val="080808"/>
        </w:rPr>
      </w:pPr>
    </w:p>
    <w:p w14:paraId="4AEB9BD0" w14:textId="7E0115EB" w:rsidR="001D0836" w:rsidRPr="00B941BA" w:rsidRDefault="001D0836" w:rsidP="005D6598">
      <w:pPr>
        <w:keepNext/>
        <w:widowControl/>
        <w:overflowPunct w:val="0"/>
        <w:ind w:firstLine="720"/>
        <w:textAlignment w:val="baseline"/>
        <w:rPr>
          <w:color w:val="080808"/>
        </w:rPr>
      </w:pPr>
      <w:r w:rsidRPr="00B81767">
        <w:rPr>
          <w:color w:val="080808"/>
        </w:rPr>
        <w:lastRenderedPageBreak/>
        <w:t xml:space="preserve">The </w:t>
      </w:r>
      <w:r>
        <w:rPr>
          <w:color w:val="080808"/>
        </w:rPr>
        <w:t xml:space="preserve">Final </w:t>
      </w:r>
      <w:r w:rsidRPr="00B81767">
        <w:rPr>
          <w:color w:val="080808"/>
        </w:rPr>
        <w:t>Judgment is based on a</w:t>
      </w:r>
      <w:r w:rsidR="00D5071E">
        <w:rPr>
          <w:color w:val="080808"/>
        </w:rPr>
        <w:t xml:space="preserve"> </w:t>
      </w:r>
      <w:r w:rsidR="00294793">
        <w:rPr>
          <w:color w:val="080808"/>
        </w:rPr>
        <w:t>May 2021</w:t>
      </w:r>
      <w:r w:rsidRPr="00B81767">
        <w:rPr>
          <w:color w:val="080808"/>
        </w:rPr>
        <w:t xml:space="preserve"> complaint </w:t>
      </w:r>
      <w:r w:rsidR="00E763A8" w:rsidRPr="00B81767">
        <w:rPr>
          <w:color w:val="080808"/>
        </w:rPr>
        <w:t xml:space="preserve">filed </w:t>
      </w:r>
      <w:r w:rsidR="00E51548">
        <w:rPr>
          <w:color w:val="080808"/>
        </w:rPr>
        <w:t>against the Firm</w:t>
      </w:r>
      <w:r w:rsidR="00E51548" w:rsidRPr="00B81767">
        <w:rPr>
          <w:color w:val="080808"/>
        </w:rPr>
        <w:t xml:space="preserve"> </w:t>
      </w:r>
      <w:r w:rsidR="00E763A8" w:rsidRPr="00B81767">
        <w:rPr>
          <w:color w:val="080808"/>
        </w:rPr>
        <w:t>by the S</w:t>
      </w:r>
      <w:r w:rsidR="00E763A8">
        <w:rPr>
          <w:color w:val="080808"/>
        </w:rPr>
        <w:t>EC</w:t>
      </w:r>
      <w:r w:rsidR="00E763A8" w:rsidRPr="00B81767">
        <w:rPr>
          <w:color w:val="080808"/>
        </w:rPr>
        <w:t xml:space="preserve"> </w:t>
      </w:r>
      <w:r w:rsidRPr="00B81767">
        <w:rPr>
          <w:color w:val="080808"/>
        </w:rPr>
        <w:t>(</w:t>
      </w:r>
      <w:r w:rsidR="00E763A8">
        <w:rPr>
          <w:color w:val="080808"/>
        </w:rPr>
        <w:t xml:space="preserve">the </w:t>
      </w:r>
      <w:r w:rsidRPr="00B81767">
        <w:rPr>
          <w:color w:val="080808"/>
        </w:rPr>
        <w:t>“SEC Complaint”)</w:t>
      </w:r>
      <w:r>
        <w:rPr>
          <w:color w:val="080808"/>
        </w:rPr>
        <w:t xml:space="preserve">.  The SEC Complaint </w:t>
      </w:r>
      <w:r w:rsidRPr="00B81767">
        <w:rPr>
          <w:color w:val="080808"/>
        </w:rPr>
        <w:t xml:space="preserve">alleged that </w:t>
      </w:r>
      <w:r w:rsidR="006A6A34">
        <w:rPr>
          <w:color w:val="080808"/>
        </w:rPr>
        <w:t xml:space="preserve">from December 2016 through July 2017, </w:t>
      </w:r>
      <w:r w:rsidR="00D5071E">
        <w:rPr>
          <w:bCs/>
        </w:rPr>
        <w:t xml:space="preserve">the Firm </w:t>
      </w:r>
      <w:r w:rsidR="00294793">
        <w:rPr>
          <w:bCs/>
        </w:rPr>
        <w:t xml:space="preserve">mismarked as “long” or “short exempt” over 90 sale orders from a single hedge fund </w:t>
      </w:r>
      <w:r w:rsidR="006A6A34">
        <w:rPr>
          <w:bCs/>
        </w:rPr>
        <w:t>customer</w:t>
      </w:r>
      <w:r w:rsidR="00294793">
        <w:rPr>
          <w:bCs/>
        </w:rPr>
        <w:t xml:space="preserve"> that was not deemed to own the share</w:t>
      </w:r>
      <w:r w:rsidR="006A6A34">
        <w:rPr>
          <w:bCs/>
        </w:rPr>
        <w:t>s</w:t>
      </w:r>
      <w:r w:rsidR="00294793">
        <w:rPr>
          <w:bCs/>
        </w:rPr>
        <w:t xml:space="preserve"> of the securities</w:t>
      </w:r>
      <w:r w:rsidR="006A6A34">
        <w:rPr>
          <w:bCs/>
        </w:rPr>
        <w:t xml:space="preserve"> that it</w:t>
      </w:r>
      <w:r w:rsidR="00294793">
        <w:rPr>
          <w:bCs/>
        </w:rPr>
        <w:t xml:space="preserve"> </w:t>
      </w:r>
      <w:r w:rsidR="006A6A34">
        <w:rPr>
          <w:bCs/>
        </w:rPr>
        <w:t xml:space="preserve">sold.  The SEC Complaint further alleged that the Firm failed to borrow and locate shares before executing the short sales.   </w:t>
      </w:r>
    </w:p>
    <w:p w14:paraId="284BCBE9" w14:textId="77777777" w:rsidR="00A668ED" w:rsidRPr="00B941BA" w:rsidRDefault="00A668ED" w:rsidP="002F0AD1">
      <w:pPr>
        <w:ind w:firstLine="720"/>
        <w:rPr>
          <w:color w:val="080808"/>
        </w:rPr>
      </w:pPr>
    </w:p>
    <w:p w14:paraId="7EDA82CE" w14:textId="77777777" w:rsidR="002B7FC0" w:rsidRPr="00B941BA" w:rsidRDefault="002B7FC0" w:rsidP="00E562A6">
      <w:pPr>
        <w:keepNext/>
        <w:widowControl/>
        <w:rPr>
          <w:b/>
        </w:rPr>
      </w:pPr>
      <w:r w:rsidRPr="00B941BA">
        <w:rPr>
          <w:b/>
        </w:rPr>
        <w:t>II</w:t>
      </w:r>
      <w:r w:rsidR="007D77B3" w:rsidRPr="00B941BA">
        <w:rPr>
          <w:b/>
        </w:rPr>
        <w:t>I</w:t>
      </w:r>
      <w:r w:rsidRPr="00B941BA">
        <w:rPr>
          <w:b/>
        </w:rPr>
        <w:t xml:space="preserve">.  </w:t>
      </w:r>
      <w:r w:rsidRPr="00B941BA">
        <w:rPr>
          <w:b/>
        </w:rPr>
        <w:tab/>
        <w:t>Background Information</w:t>
      </w:r>
    </w:p>
    <w:p w14:paraId="1FD91EE3" w14:textId="77777777" w:rsidR="000A3A86" w:rsidRPr="00B941BA" w:rsidRDefault="000A3A86" w:rsidP="00E562A6">
      <w:pPr>
        <w:keepNext/>
        <w:widowControl/>
        <w:rPr>
          <w:b/>
          <w:u w:val="single"/>
        </w:rPr>
      </w:pPr>
    </w:p>
    <w:p w14:paraId="67829C4A" w14:textId="77777777" w:rsidR="002B7FC0" w:rsidRPr="00B941BA" w:rsidRDefault="002B7FC0" w:rsidP="00E067D7">
      <w:pPr>
        <w:pStyle w:val="ListParagraph"/>
        <w:keepNext/>
        <w:widowControl/>
        <w:numPr>
          <w:ilvl w:val="0"/>
          <w:numId w:val="2"/>
        </w:numPr>
        <w:ind w:left="1440" w:hanging="720"/>
        <w:rPr>
          <w:u w:val="single"/>
        </w:rPr>
      </w:pPr>
      <w:r w:rsidRPr="00B941BA">
        <w:rPr>
          <w:u w:val="single"/>
        </w:rPr>
        <w:t xml:space="preserve">The </w:t>
      </w:r>
      <w:r w:rsidR="00BF1F68" w:rsidRPr="00B941BA">
        <w:rPr>
          <w:u w:val="single"/>
        </w:rPr>
        <w:t>Firm</w:t>
      </w:r>
    </w:p>
    <w:p w14:paraId="18B2BB12" w14:textId="77777777" w:rsidR="00043232" w:rsidRPr="00B941BA" w:rsidRDefault="00043232" w:rsidP="00E562A6">
      <w:pPr>
        <w:keepNext/>
        <w:widowControl/>
        <w:outlineLvl w:val="0"/>
      </w:pPr>
    </w:p>
    <w:p w14:paraId="1BBF6281" w14:textId="4085FE38" w:rsidR="000412BA" w:rsidRDefault="000412BA" w:rsidP="00D5071E">
      <w:pPr>
        <w:keepNext/>
        <w:widowControl/>
        <w:ind w:firstLine="720"/>
      </w:pPr>
      <w:r w:rsidRPr="002143B8">
        <w:t>The Fir</w:t>
      </w:r>
      <w:r>
        <w:t xml:space="preserve">m </w:t>
      </w:r>
      <w:r w:rsidRPr="00B212C3">
        <w:t xml:space="preserve">is based in </w:t>
      </w:r>
      <w:r w:rsidR="00A91CC6">
        <w:t>San Francisco</w:t>
      </w:r>
      <w:r w:rsidR="00D61652">
        <w:t xml:space="preserve">, </w:t>
      </w:r>
      <w:r w:rsidR="00A91CC6">
        <w:t xml:space="preserve">California </w:t>
      </w:r>
      <w:r w:rsidRPr="00B212C3">
        <w:t>and has been a</w:t>
      </w:r>
      <w:r>
        <w:t xml:space="preserve"> FI</w:t>
      </w:r>
      <w:r w:rsidRPr="00B212C3">
        <w:t xml:space="preserve">NRA member since </w:t>
      </w:r>
      <w:r w:rsidR="00D5071E">
        <w:t>200</w:t>
      </w:r>
      <w:r w:rsidR="00A91CC6">
        <w:t>2</w:t>
      </w:r>
      <w:r w:rsidR="00D5071E">
        <w:t xml:space="preserve">.  </w:t>
      </w:r>
      <w:r w:rsidR="002143B8">
        <w:t xml:space="preserve">According to the Firm’s Central Registration Depository (“CRD”®) record, it has </w:t>
      </w:r>
      <w:r w:rsidR="00A91CC6">
        <w:t>14 b</w:t>
      </w:r>
      <w:r w:rsidR="00D5071E">
        <w:t xml:space="preserve">ranch offices, </w:t>
      </w:r>
      <w:r w:rsidR="00A91CC6">
        <w:t xml:space="preserve">10 </w:t>
      </w:r>
      <w:r w:rsidR="00D5071E">
        <w:t xml:space="preserve">of </w:t>
      </w:r>
      <w:r w:rsidR="002143B8">
        <w:t xml:space="preserve">which </w:t>
      </w:r>
      <w:r w:rsidR="008865B8">
        <w:t xml:space="preserve">are </w:t>
      </w:r>
      <w:r w:rsidR="00D61652">
        <w:t>Office</w:t>
      </w:r>
      <w:r w:rsidR="008865B8">
        <w:t>s</w:t>
      </w:r>
      <w:r w:rsidRPr="00B212C3">
        <w:t xml:space="preserve"> of</w:t>
      </w:r>
      <w:r w:rsidR="00D61652">
        <w:t xml:space="preserve"> Supervisory Jurisdiction</w:t>
      </w:r>
      <w:r w:rsidRPr="00B212C3">
        <w:t xml:space="preserve">. </w:t>
      </w:r>
      <w:r>
        <w:t xml:space="preserve"> </w:t>
      </w:r>
      <w:r w:rsidR="00474AED">
        <w:t>CRD shows that t</w:t>
      </w:r>
      <w:r w:rsidR="002143B8">
        <w:t xml:space="preserve">he Firm </w:t>
      </w:r>
      <w:r w:rsidRPr="00B212C3">
        <w:t xml:space="preserve">employs </w:t>
      </w:r>
      <w:r w:rsidR="00A91CC6">
        <w:t>519 registered</w:t>
      </w:r>
      <w:r w:rsidR="00474AED" w:rsidRPr="00474AED">
        <w:t xml:space="preserve"> </w:t>
      </w:r>
      <w:r w:rsidR="00474AED">
        <w:t>r</w:t>
      </w:r>
      <w:r w:rsidR="00474AED" w:rsidRPr="00474AED">
        <w:t xml:space="preserve">epresentatives, </w:t>
      </w:r>
      <w:r w:rsidR="00A91CC6">
        <w:t xml:space="preserve">126 of whom are registered principals.  </w:t>
      </w:r>
      <w:r w:rsidR="00837E7E">
        <w:t xml:space="preserve">The Firm </w:t>
      </w:r>
      <w:r w:rsidR="00A91CC6">
        <w:t xml:space="preserve">currently </w:t>
      </w:r>
      <w:r w:rsidR="00D5071E">
        <w:t>employs one statutorily disqualified individual.</w:t>
      </w:r>
      <w:r w:rsidR="00D5071E" w:rsidRPr="00376A2D">
        <w:rPr>
          <w:rStyle w:val="FootnoteReference"/>
        </w:rPr>
        <w:footnoteReference w:id="3"/>
      </w:r>
      <w:r w:rsidRPr="00B212C3">
        <w:t xml:space="preserve"> </w:t>
      </w:r>
    </w:p>
    <w:p w14:paraId="1832B4D9" w14:textId="77777777" w:rsidR="007B440B" w:rsidRDefault="007B440B" w:rsidP="001B74A0"/>
    <w:p w14:paraId="6C50B555" w14:textId="4A73F5C5" w:rsidR="007E5288" w:rsidRPr="00B941BA" w:rsidRDefault="009D63B9" w:rsidP="00E067D7">
      <w:pPr>
        <w:pStyle w:val="ListParagraph"/>
        <w:numPr>
          <w:ilvl w:val="0"/>
          <w:numId w:val="2"/>
        </w:numPr>
        <w:ind w:left="1440" w:hanging="720"/>
        <w:outlineLvl w:val="0"/>
        <w:rPr>
          <w:u w:val="single"/>
        </w:rPr>
      </w:pPr>
      <w:r>
        <w:rPr>
          <w:u w:val="single"/>
        </w:rPr>
        <w:t xml:space="preserve">Recent </w:t>
      </w:r>
      <w:r w:rsidR="00640005" w:rsidRPr="00B941BA">
        <w:rPr>
          <w:u w:val="single"/>
        </w:rPr>
        <w:t>Examinations</w:t>
      </w:r>
      <w:r w:rsidR="00CE4D62">
        <w:rPr>
          <w:u w:val="single"/>
        </w:rPr>
        <w:t xml:space="preserve"> and Regulatory History</w:t>
      </w:r>
    </w:p>
    <w:p w14:paraId="6F49692C" w14:textId="77777777" w:rsidR="005D1058" w:rsidRPr="00B941BA" w:rsidRDefault="005D1058" w:rsidP="001B74A0"/>
    <w:p w14:paraId="21AEC90F" w14:textId="0252ACEF" w:rsidR="0072724D" w:rsidRDefault="00A2313A" w:rsidP="0072724D">
      <w:pPr>
        <w:pStyle w:val="BodyText"/>
        <w:keepNext/>
        <w:numPr>
          <w:ilvl w:val="0"/>
          <w:numId w:val="7"/>
        </w:numPr>
        <w:tabs>
          <w:tab w:val="left" w:pos="720"/>
        </w:tabs>
        <w:spacing w:after="0"/>
        <w:rPr>
          <w:u w:val="single"/>
        </w:rPr>
      </w:pPr>
      <w:r w:rsidRPr="00A2313A">
        <w:rPr>
          <w:u w:val="single"/>
        </w:rPr>
        <w:t xml:space="preserve">Recent </w:t>
      </w:r>
      <w:r w:rsidR="00BE2BCA" w:rsidRPr="00A2313A">
        <w:rPr>
          <w:u w:val="single"/>
        </w:rPr>
        <w:t>Examinations</w:t>
      </w:r>
    </w:p>
    <w:p w14:paraId="38C10745" w14:textId="77777777" w:rsidR="0072724D" w:rsidRPr="0072724D" w:rsidRDefault="0072724D" w:rsidP="0072724D">
      <w:pPr>
        <w:pStyle w:val="BodyText"/>
        <w:keepNext/>
        <w:tabs>
          <w:tab w:val="left" w:pos="720"/>
        </w:tabs>
        <w:spacing w:after="0"/>
        <w:ind w:left="1800"/>
        <w:rPr>
          <w:u w:val="single"/>
        </w:rPr>
      </w:pPr>
    </w:p>
    <w:p w14:paraId="02051B9A" w14:textId="247B5902" w:rsidR="006754D8" w:rsidRDefault="006754D8" w:rsidP="0072724D">
      <w:pPr>
        <w:pStyle w:val="BodyText"/>
        <w:keepNext/>
        <w:widowControl/>
        <w:tabs>
          <w:tab w:val="left" w:pos="720"/>
        </w:tabs>
        <w:spacing w:after="240"/>
      </w:pPr>
      <w:r>
        <w:tab/>
        <w:t xml:space="preserve">In January 2023, FINRA issued the Firm a Cautionary Action, which cited it for the following deficiencies: </w:t>
      </w:r>
      <w:r w:rsidR="00D61E14">
        <w:t>imp</w:t>
      </w:r>
      <w:r>
        <w:t>roperly calculat</w:t>
      </w:r>
      <w:r w:rsidR="00D61E14">
        <w:t>ing</w:t>
      </w:r>
      <w:r>
        <w:t xml:space="preserve"> transactions in U.S. </w:t>
      </w:r>
      <w:r w:rsidR="00D61E14">
        <w:t xml:space="preserve">currency, failing to comply with its special selling efforts in certain deals, and erroneously reporting transactions in U.S. dollars that were not in U.S. dollars; and failing to maintain and enforce supervisory procedures reasonably designed to comply with the trade reporting exception in FINRA Rule 6380A.  </w:t>
      </w:r>
      <w:r>
        <w:t xml:space="preserve">The Firm </w:t>
      </w:r>
      <w:r w:rsidR="00D61E14">
        <w:t xml:space="preserve">responded in writing to the deficiencies noted and represented that it </w:t>
      </w:r>
      <w:r>
        <w:t xml:space="preserve">revised its </w:t>
      </w:r>
      <w:r w:rsidR="00E51548">
        <w:t>written supervisory procedures (“</w:t>
      </w:r>
      <w:r>
        <w:t>WSPs</w:t>
      </w:r>
      <w:r w:rsidR="00E51548">
        <w:t>”)</w:t>
      </w:r>
      <w:r>
        <w:t xml:space="preserve"> to address these deficiencies. </w:t>
      </w:r>
    </w:p>
    <w:p w14:paraId="47F65FCB" w14:textId="1F6F2F57" w:rsidR="00D61E14" w:rsidRDefault="006754D8" w:rsidP="006B6676">
      <w:pPr>
        <w:pStyle w:val="BodyText"/>
        <w:keepNext/>
        <w:widowControl/>
        <w:tabs>
          <w:tab w:val="left" w:pos="720"/>
        </w:tabs>
        <w:spacing w:after="240"/>
      </w:pPr>
      <w:r>
        <w:tab/>
      </w:r>
      <w:r w:rsidR="00D61E14">
        <w:t>In June 2022, the SEC completed an examination of the Firm that resulted in no further action.</w:t>
      </w:r>
    </w:p>
    <w:p w14:paraId="70A938DD" w14:textId="0EC73050" w:rsidR="00A2313A" w:rsidRDefault="00D61E14" w:rsidP="00547951">
      <w:pPr>
        <w:pStyle w:val="BodyText"/>
        <w:keepNext/>
        <w:widowControl/>
        <w:tabs>
          <w:tab w:val="left" w:pos="720"/>
        </w:tabs>
        <w:spacing w:after="240"/>
      </w:pPr>
      <w:r>
        <w:tab/>
      </w:r>
      <w:r w:rsidR="00A2313A">
        <w:t xml:space="preserve">In 2021, FINRA completed a routine examination of the Firm that resulted in six exceptions: (1) failing to accurately calculate haircuts when computing its preferred stock; (2) failing to establish WSPs to document supervisory controls for calculating </w:t>
      </w:r>
      <w:r w:rsidR="00A2313A">
        <w:lastRenderedPageBreak/>
        <w:t xml:space="preserve">haircuts for the Firm’s net capital computation; (3) filing </w:t>
      </w:r>
      <w:r w:rsidR="00BE2BCA">
        <w:t>inaccurate</w:t>
      </w:r>
      <w:r w:rsidR="00A2313A">
        <w:t xml:space="preserve"> FOCUS reports; </w:t>
      </w:r>
      <w:r w:rsidR="00E00F21">
        <w:t xml:space="preserve">   </w:t>
      </w:r>
      <w:r w:rsidR="00A2313A">
        <w:t xml:space="preserve">(4) failing to include a process or controls for the timely and accurate filing of the Firm’s </w:t>
      </w:r>
      <w:r w:rsidR="00407C96">
        <w:t>F</w:t>
      </w:r>
      <w:r w:rsidR="00A2313A">
        <w:t>inancial</w:t>
      </w:r>
      <w:r w:rsidR="00407C96">
        <w:t xml:space="preserve"> Filing</w:t>
      </w:r>
      <w:r w:rsidR="00A2313A">
        <w:t xml:space="preserve">s and </w:t>
      </w:r>
      <w:r w:rsidR="00407C96">
        <w:t>N</w:t>
      </w:r>
      <w:r w:rsidR="00A2313A">
        <w:t xml:space="preserve">otifications; (5) </w:t>
      </w:r>
      <w:r w:rsidR="00BE2BCA">
        <w:t>failing</w:t>
      </w:r>
      <w:r w:rsidR="00A2313A">
        <w:t xml:space="preserve"> to maintain systems and controls for monitoring recordkeeping requirements associated with large trader client activities; and (6) failing to </w:t>
      </w:r>
      <w:r w:rsidR="00BE2BCA">
        <w:t>maintain</w:t>
      </w:r>
      <w:r w:rsidR="00A2313A">
        <w:t xml:space="preserve"> adequate WSPs</w:t>
      </w:r>
      <w:r w:rsidR="00BE2BCA">
        <w:t xml:space="preserve"> regarding the frequency of training related to the function and control of the Firm’s trading algorithms. </w:t>
      </w:r>
      <w:r w:rsidR="00407C96">
        <w:t xml:space="preserve"> The Firm responded in writing to the exceptions and represented that it corrected the noted deficiencies.  Member Supervision states that the examination was closed with no further action.</w:t>
      </w:r>
    </w:p>
    <w:p w14:paraId="295FE5C2" w14:textId="3BE3CFD5" w:rsidR="00025611" w:rsidRPr="00D61E14" w:rsidRDefault="00D61E14" w:rsidP="00D61E14">
      <w:pPr>
        <w:pStyle w:val="BodyText"/>
        <w:keepNext/>
        <w:numPr>
          <w:ilvl w:val="0"/>
          <w:numId w:val="7"/>
        </w:numPr>
        <w:tabs>
          <w:tab w:val="left" w:pos="720"/>
        </w:tabs>
        <w:spacing w:after="240"/>
        <w:rPr>
          <w:u w:val="single"/>
        </w:rPr>
      </w:pPr>
      <w:r w:rsidRPr="00D61E14">
        <w:rPr>
          <w:u w:val="single"/>
        </w:rPr>
        <w:t>Recent Regulatory History</w:t>
      </w:r>
    </w:p>
    <w:p w14:paraId="7A156C76" w14:textId="7A101ED8" w:rsidR="00D61E14" w:rsidRDefault="00CE4D62" w:rsidP="00B44BCF">
      <w:pPr>
        <w:ind w:firstLine="720"/>
        <w:rPr>
          <w:bCs/>
        </w:rPr>
      </w:pPr>
      <w:r>
        <w:rPr>
          <w:bCs/>
        </w:rPr>
        <w:t xml:space="preserve">Other than the Final Judgment, the </w:t>
      </w:r>
      <w:r w:rsidR="00D61E14">
        <w:rPr>
          <w:bCs/>
        </w:rPr>
        <w:t xml:space="preserve">Firm has been the subject of four </w:t>
      </w:r>
      <w:r w:rsidR="008865B8">
        <w:rPr>
          <w:bCs/>
        </w:rPr>
        <w:t xml:space="preserve">recent </w:t>
      </w:r>
      <w:r w:rsidR="00D61E14">
        <w:rPr>
          <w:bCs/>
        </w:rPr>
        <w:t>regulatory matters.</w:t>
      </w:r>
    </w:p>
    <w:p w14:paraId="424428B8" w14:textId="77777777" w:rsidR="00D61E14" w:rsidRDefault="00D61E14" w:rsidP="00B44BCF">
      <w:pPr>
        <w:ind w:firstLine="720"/>
        <w:rPr>
          <w:bCs/>
        </w:rPr>
      </w:pPr>
    </w:p>
    <w:p w14:paraId="2D2C674A" w14:textId="470C2436" w:rsidR="00D67397" w:rsidRDefault="00D67397" w:rsidP="0004222B">
      <w:pPr>
        <w:ind w:firstLine="720"/>
      </w:pPr>
      <w:r>
        <w:t xml:space="preserve">In July 2020, NYSE Arca, Inc. accepted a </w:t>
      </w:r>
      <w:r w:rsidRPr="008A4A85">
        <w:t>Letter of Acceptance, Waiver and Consent (“AWC”)</w:t>
      </w:r>
      <w:r>
        <w:t xml:space="preserve"> from the Firm for violations of Exchange Act Section 17(a), Exchange Act Rule 17a-3, NYSE Arca Rules 2.28 (Books and Records), 6.68-O (Record of Orders), and 11.16 (Books and Records), and NYSE Arca Options Rule 11.18 (Supervision).  Without admitting or denying the allegations, the Firm consented to findings that from November 2016 through January 2019, it failed to create and maintain record</w:t>
      </w:r>
      <w:r w:rsidR="00E51548">
        <w:t xml:space="preserve">s </w:t>
      </w:r>
      <w:r>
        <w:t xml:space="preserve">for at least 10 options orders manually routed to the Exchange for execution and failed to establish and maintain a supervisory system reasonably designed to ensure compliance with its books and records obligations.  NYSE Arca, Inc. </w:t>
      </w:r>
      <w:r w:rsidR="003A15C3">
        <w:t>censured the Firm and fined it $40,000.</w:t>
      </w:r>
      <w:r>
        <w:t xml:space="preserve"> </w:t>
      </w:r>
    </w:p>
    <w:p w14:paraId="18D8A017" w14:textId="77777777" w:rsidR="00D67397" w:rsidRDefault="00D67397" w:rsidP="0004222B">
      <w:pPr>
        <w:ind w:firstLine="720"/>
      </w:pPr>
    </w:p>
    <w:p w14:paraId="7B162A68" w14:textId="42C6F19F" w:rsidR="0049799C" w:rsidRDefault="0049799C" w:rsidP="0004222B">
      <w:pPr>
        <w:ind w:firstLine="720"/>
      </w:pPr>
      <w:r>
        <w:t xml:space="preserve">In December 2015, </w:t>
      </w:r>
      <w:r w:rsidRPr="008A4A85">
        <w:t>FINRA accepted a</w:t>
      </w:r>
      <w:r w:rsidR="00D67397">
        <w:t>n AWC</w:t>
      </w:r>
      <w:r w:rsidRPr="008A4A85">
        <w:t xml:space="preserve"> from the Firm for violations of</w:t>
      </w:r>
      <w:r>
        <w:t xml:space="preserve"> </w:t>
      </w:r>
      <w:r w:rsidR="00D67397">
        <w:t xml:space="preserve">FINRA Rules 2010 and 5310.  Without admitting or denying the allegations, the Firm consented to findings that from January 2014 through March 2014, the Firm failed to </w:t>
      </w:r>
      <w:r w:rsidR="00E51548">
        <w:t xml:space="preserve">fully and promptly </w:t>
      </w:r>
      <w:r w:rsidR="00D67397">
        <w:t>execute 107 customer market orders.  FINRA fined the Firm $5,000.</w:t>
      </w:r>
    </w:p>
    <w:p w14:paraId="0BCDBCD8" w14:textId="77777777" w:rsidR="0049799C" w:rsidRDefault="0049799C" w:rsidP="0004222B">
      <w:pPr>
        <w:ind w:firstLine="720"/>
      </w:pPr>
    </w:p>
    <w:p w14:paraId="45FCBDE7" w14:textId="52DF6933" w:rsidR="00CE4D62" w:rsidRDefault="00D61E14" w:rsidP="006B6676">
      <w:pPr>
        <w:widowControl/>
        <w:ind w:firstLine="720"/>
      </w:pPr>
      <w:r w:rsidRPr="008A4A85">
        <w:t xml:space="preserve">In </w:t>
      </w:r>
      <w:r w:rsidR="0004222B">
        <w:t>July 2015</w:t>
      </w:r>
      <w:r w:rsidRPr="008A4A85">
        <w:t>, FINRA accepted a</w:t>
      </w:r>
      <w:r w:rsidR="0049799C">
        <w:t xml:space="preserve">n </w:t>
      </w:r>
      <w:r w:rsidRPr="008A4A85">
        <w:t xml:space="preserve">AWC from the Firm for violations of </w:t>
      </w:r>
      <w:r w:rsidR="0004222B">
        <w:t xml:space="preserve">Exchange Act Rule 17a-3, </w:t>
      </w:r>
      <w:r>
        <w:t>NASD Rule 3</w:t>
      </w:r>
      <w:r w:rsidR="0004222B">
        <w:t>110</w:t>
      </w:r>
      <w:r>
        <w:t xml:space="preserve">, </w:t>
      </w:r>
      <w:r w:rsidR="0004222B">
        <w:t xml:space="preserve">and </w:t>
      </w:r>
      <w:r>
        <w:t xml:space="preserve">FINRA Rules </w:t>
      </w:r>
      <w:r w:rsidR="0004222B">
        <w:t>2010, 4511, and 7450</w:t>
      </w:r>
      <w:r>
        <w:t xml:space="preserve">.  </w:t>
      </w:r>
      <w:r w:rsidRPr="008A4A85">
        <w:t xml:space="preserve">Without admitting or denying the allegations, the Firm consented to findings that from </w:t>
      </w:r>
      <w:r w:rsidR="0004222B">
        <w:t>November 2011 through November 2012</w:t>
      </w:r>
      <w:r>
        <w:t xml:space="preserve">, </w:t>
      </w:r>
      <w:r w:rsidR="0004222B">
        <w:t>it failed to capture the “not held” term</w:t>
      </w:r>
      <w:r w:rsidR="008865B8">
        <w:t>s</w:t>
      </w:r>
      <w:r w:rsidR="0004222B">
        <w:t xml:space="preserve"> and condition</w:t>
      </w:r>
      <w:r w:rsidR="008865B8">
        <w:t>s</w:t>
      </w:r>
      <w:r w:rsidR="0004222B">
        <w:t xml:space="preserve"> for approximately 11,000 orders and transmitted to OATS reports that contained inaccurate, incomplete, or improperly formatted data.  </w:t>
      </w:r>
      <w:r w:rsidRPr="00222D79">
        <w:t>FINRA censured the Firm</w:t>
      </w:r>
      <w:r>
        <w:t xml:space="preserve"> and fined it $</w:t>
      </w:r>
      <w:r w:rsidR="0004222B">
        <w:t>1</w:t>
      </w:r>
      <w:r>
        <w:t>5,000</w:t>
      </w:r>
      <w:r w:rsidR="0004222B">
        <w:t xml:space="preserve">, which accounted for the fact that the Firm discovered and corrected the issue that led to its violations prior to FINRA’s review of this matter.  </w:t>
      </w:r>
    </w:p>
    <w:p w14:paraId="2AEC7AE6" w14:textId="4D339049" w:rsidR="0004222B" w:rsidRDefault="0004222B" w:rsidP="0004222B">
      <w:pPr>
        <w:ind w:firstLine="720"/>
      </w:pPr>
    </w:p>
    <w:p w14:paraId="4E332C57" w14:textId="42F26A3B" w:rsidR="0004222B" w:rsidRDefault="0004222B" w:rsidP="0004222B">
      <w:pPr>
        <w:ind w:firstLine="720"/>
        <w:rPr>
          <w:bCs/>
        </w:rPr>
      </w:pPr>
      <w:r>
        <w:t xml:space="preserve">In October 2014, FINRA accepted an AWC from the Firm for violations of </w:t>
      </w:r>
      <w:r w:rsidR="0049799C">
        <w:t xml:space="preserve">FINRA Rules 2010 and 6460.  Without admitting or denying the allegations, the Firm consented to findings that from July 2012 through September 2012, the Firm failed to publish immediately a bid or offer that reflected the price and the full size of a customer limit order for an OTC Equity Security held by the Firm that was at a price that would have improved the </w:t>
      </w:r>
      <w:r w:rsidR="008865B8">
        <w:t xml:space="preserve">Firm’s </w:t>
      </w:r>
      <w:r w:rsidR="0049799C">
        <w:t xml:space="preserve">bid or offer </w:t>
      </w:r>
      <w:r w:rsidR="008865B8">
        <w:t>i</w:t>
      </w:r>
      <w:r w:rsidR="0049799C">
        <w:t>n such security.  FINRA fined the Firm $5,000</w:t>
      </w:r>
      <w:r>
        <w:t>.</w:t>
      </w:r>
    </w:p>
    <w:p w14:paraId="4E648275" w14:textId="52E212EC" w:rsidR="00B44BCF" w:rsidRDefault="00CB2994" w:rsidP="00B44BCF">
      <w:pPr>
        <w:ind w:firstLine="720"/>
        <w:rPr>
          <w:bCs/>
        </w:rPr>
      </w:pPr>
      <w:r>
        <w:rPr>
          <w:bCs/>
        </w:rPr>
        <w:t xml:space="preserve">  </w:t>
      </w:r>
      <w:r w:rsidR="00B44BCF">
        <w:rPr>
          <w:bCs/>
        </w:rPr>
        <w:t xml:space="preserve">  </w:t>
      </w:r>
    </w:p>
    <w:p w14:paraId="00ED9E26" w14:textId="2254F2D3" w:rsidR="002B7FC0" w:rsidRPr="00B941BA" w:rsidRDefault="002B7FC0" w:rsidP="00D210A6">
      <w:pPr>
        <w:keepNext/>
        <w:widowControl/>
        <w:ind w:left="720" w:hanging="720"/>
        <w:outlineLvl w:val="0"/>
        <w:rPr>
          <w:b/>
        </w:rPr>
      </w:pPr>
      <w:r w:rsidRPr="00B941BA">
        <w:rPr>
          <w:b/>
        </w:rPr>
        <w:lastRenderedPageBreak/>
        <w:t xml:space="preserve">IV. </w:t>
      </w:r>
      <w:r w:rsidRPr="00B941BA">
        <w:rPr>
          <w:b/>
        </w:rPr>
        <w:tab/>
      </w:r>
      <w:r w:rsidR="001977C6" w:rsidRPr="00B941BA">
        <w:rPr>
          <w:b/>
        </w:rPr>
        <w:t xml:space="preserve">The Firm’s Proposed Continued Membership with FINRA and Proposed </w:t>
      </w:r>
      <w:r w:rsidR="009128BB">
        <w:rPr>
          <w:b/>
        </w:rPr>
        <w:t xml:space="preserve">Plan of Heightened </w:t>
      </w:r>
      <w:r w:rsidR="0022416C" w:rsidRPr="00B941BA">
        <w:rPr>
          <w:b/>
        </w:rPr>
        <w:t>Super</w:t>
      </w:r>
      <w:r w:rsidR="009128BB">
        <w:rPr>
          <w:b/>
        </w:rPr>
        <w:t xml:space="preserve">vision </w:t>
      </w:r>
      <w:r w:rsidRPr="00B941BA">
        <w:rPr>
          <w:b/>
        </w:rPr>
        <w:t xml:space="preserve"> </w:t>
      </w:r>
    </w:p>
    <w:p w14:paraId="7039EE43" w14:textId="77777777" w:rsidR="00EE3ACF" w:rsidRDefault="00EE3ACF" w:rsidP="00D210A6">
      <w:pPr>
        <w:keepNext/>
        <w:widowControl/>
        <w:ind w:firstLine="360"/>
        <w:outlineLvl w:val="0"/>
      </w:pPr>
    </w:p>
    <w:p w14:paraId="0CA046A3" w14:textId="29A846A4" w:rsidR="00E40612" w:rsidRDefault="007175B4" w:rsidP="00D813AA">
      <w:pPr>
        <w:keepNext/>
        <w:widowControl/>
      </w:pPr>
      <w:r>
        <w:rPr>
          <w:color w:val="000000"/>
        </w:rPr>
        <w:tab/>
      </w:r>
      <w:r w:rsidR="00F3767A">
        <w:t xml:space="preserve">The Firm </w:t>
      </w:r>
      <w:r w:rsidR="00F3767A" w:rsidRPr="00B212C3">
        <w:t xml:space="preserve">seeks to continue its membership with FINRA notwithstanding the </w:t>
      </w:r>
      <w:r w:rsidR="00EE3ACF">
        <w:t>Final Judgment</w:t>
      </w:r>
      <w:r w:rsidR="005A05B3">
        <w:t>, which renders the Firm statutorily disqualified</w:t>
      </w:r>
      <w:r w:rsidR="00F3767A" w:rsidRPr="00B212C3">
        <w:t>.</w:t>
      </w:r>
      <w:r w:rsidR="00F3767A">
        <w:t xml:space="preserve"> </w:t>
      </w:r>
      <w:r w:rsidR="00F3767A" w:rsidRPr="00B212C3">
        <w:t xml:space="preserve"> </w:t>
      </w:r>
      <w:r w:rsidR="002C4441">
        <w:t>T</w:t>
      </w:r>
      <w:r w:rsidR="00E40612">
        <w:t xml:space="preserve">he Firm </w:t>
      </w:r>
      <w:r w:rsidR="00F3767A" w:rsidRPr="00B212C3">
        <w:t xml:space="preserve">has </w:t>
      </w:r>
      <w:r w:rsidR="002C4441">
        <w:t xml:space="preserve">therefore </w:t>
      </w:r>
      <w:r w:rsidR="00F3767A" w:rsidRPr="00B212C3">
        <w:t xml:space="preserve">agreed to the following </w:t>
      </w:r>
      <w:r w:rsidR="00D74ED8">
        <w:t>P</w:t>
      </w:r>
      <w:r w:rsidR="00F3767A" w:rsidRPr="00B212C3">
        <w:t xml:space="preserve">lan of </w:t>
      </w:r>
      <w:r w:rsidR="00D74ED8">
        <w:t>Heightened S</w:t>
      </w:r>
      <w:r w:rsidR="00F3767A" w:rsidRPr="00B212C3">
        <w:t>upervision</w:t>
      </w:r>
      <w:r w:rsidR="00E40612">
        <w:t xml:space="preserve"> </w:t>
      </w:r>
      <w:r w:rsidR="00F3767A" w:rsidRPr="00B212C3">
        <w:t>as a condition of its continued membership with FINRA:</w:t>
      </w:r>
    </w:p>
    <w:p w14:paraId="7BC298F4" w14:textId="77777777" w:rsidR="00E40612" w:rsidRDefault="00E40612" w:rsidP="00E40612">
      <w:pPr>
        <w:ind w:firstLine="720"/>
      </w:pPr>
    </w:p>
    <w:p w14:paraId="5D668D38" w14:textId="634D4CE3" w:rsidR="003A15C3" w:rsidRPr="002D3336" w:rsidRDefault="003A15C3" w:rsidP="00217D7D">
      <w:pPr>
        <w:pStyle w:val="ListParagraph"/>
        <w:widowControl/>
        <w:numPr>
          <w:ilvl w:val="0"/>
          <w:numId w:val="3"/>
        </w:numPr>
        <w:overflowPunct w:val="0"/>
        <w:ind w:right="720"/>
        <w:contextualSpacing/>
        <w:jc w:val="both"/>
        <w:textAlignment w:val="baseline"/>
      </w:pPr>
      <w:r w:rsidRPr="002D3336">
        <w:t>The Firm shall comply with the Final Judgment entered on May 2, 2022</w:t>
      </w:r>
      <w:r w:rsidR="00E51548">
        <w:t>,</w:t>
      </w:r>
      <w:r w:rsidRPr="002D3336">
        <w:t xml:space="preserve"> in the United States District Court for the Southern District of New York in connection with </w:t>
      </w:r>
      <w:r w:rsidRPr="002D3336">
        <w:rPr>
          <w:i/>
          <w:iCs/>
        </w:rPr>
        <w:t>Securities and Exchange Commission v. BTIG, LLC</w:t>
      </w:r>
      <w:r w:rsidRPr="002D3336">
        <w:t>, Case No. 21-cv-4521;</w:t>
      </w:r>
      <w:r w:rsidRPr="002D3336">
        <w:rPr>
          <w:i/>
          <w:iCs/>
        </w:rPr>
        <w:t xml:space="preserve"> </w:t>
      </w:r>
    </w:p>
    <w:p w14:paraId="42448AAA" w14:textId="77777777" w:rsidR="003A15C3" w:rsidRPr="002D3336" w:rsidRDefault="003A15C3" w:rsidP="00217D7D">
      <w:pPr>
        <w:pStyle w:val="ListParagraph"/>
        <w:ind w:left="1080" w:right="720"/>
        <w:jc w:val="both"/>
      </w:pPr>
    </w:p>
    <w:p w14:paraId="5A88761F" w14:textId="4EF9B8E6" w:rsidR="003A15C3" w:rsidRPr="002D3336" w:rsidRDefault="003A15C3" w:rsidP="00217D7D">
      <w:pPr>
        <w:pStyle w:val="ListParagraph"/>
        <w:widowControl/>
        <w:numPr>
          <w:ilvl w:val="0"/>
          <w:numId w:val="3"/>
        </w:numPr>
        <w:overflowPunct w:val="0"/>
        <w:ind w:right="720"/>
        <w:contextualSpacing/>
        <w:jc w:val="both"/>
        <w:textAlignment w:val="baseline"/>
      </w:pPr>
      <w:r w:rsidRPr="002D3336">
        <w:t>The Firm shall annually evaluate its</w:t>
      </w:r>
      <w:r w:rsidR="0027513D">
        <w:t xml:space="preserve"> WSPs</w:t>
      </w:r>
      <w:r w:rsidRPr="002D3336">
        <w:t xml:space="preserve"> relating to compliance with Regulat</w:t>
      </w:r>
      <w:r w:rsidR="006B6676">
        <w:t>ion</w:t>
      </w:r>
      <w:r w:rsidRPr="002D3336">
        <w:t xml:space="preserve"> SHO (“Reg SHO”), including its order marking and locate procedures</w:t>
      </w:r>
      <w:r w:rsidR="00E51548">
        <w:t>,</w:t>
      </w:r>
      <w:r w:rsidRPr="002D3336">
        <w:t xml:space="preserve"> to determine if the Firm’s WSPs accurately reflect the Firm’s current business model, risks, and controls.</w:t>
      </w:r>
      <w:r w:rsidR="008865B8">
        <w:t xml:space="preserve"> </w:t>
      </w:r>
      <w:r w:rsidRPr="002D3336">
        <w:t xml:space="preserve"> The Firm </w:t>
      </w:r>
      <w:r w:rsidR="00311EB6">
        <w:t>shall</w:t>
      </w:r>
      <w:r w:rsidR="00311EB6" w:rsidRPr="002D3336">
        <w:t xml:space="preserve"> </w:t>
      </w:r>
      <w:r w:rsidRPr="002D3336">
        <w:t xml:space="preserve">correct any gaps detected in </w:t>
      </w:r>
      <w:r w:rsidR="002C4441">
        <w:t>its Reg SHO WSPs</w:t>
      </w:r>
      <w:r w:rsidRPr="002D3336">
        <w:t xml:space="preserve">. </w:t>
      </w:r>
      <w:r w:rsidR="008865B8">
        <w:t xml:space="preserve"> </w:t>
      </w:r>
      <w:r w:rsidRPr="002D3336">
        <w:t>The Firm shall document any updates made to its Reg SHO WSPs</w:t>
      </w:r>
      <w:r w:rsidR="00E51548">
        <w:t xml:space="preserve"> and</w:t>
      </w:r>
      <w:r w:rsidRPr="002D3336">
        <w:t xml:space="preserve"> segregate and maintain all documentation related to its evaluation for </w:t>
      </w:r>
      <w:r w:rsidR="00E51548">
        <w:t xml:space="preserve">ease of </w:t>
      </w:r>
      <w:r w:rsidRPr="002D3336">
        <w:t>review by FINRA staff;</w:t>
      </w:r>
    </w:p>
    <w:p w14:paraId="40285F59" w14:textId="77777777" w:rsidR="003A15C3" w:rsidRPr="002D3336" w:rsidRDefault="003A15C3" w:rsidP="00217D7D">
      <w:pPr>
        <w:pStyle w:val="ListParagraph"/>
        <w:ind w:left="1080" w:right="720"/>
        <w:jc w:val="both"/>
      </w:pPr>
    </w:p>
    <w:p w14:paraId="67DEBC3C" w14:textId="601A9273" w:rsidR="003A15C3" w:rsidRPr="002D3336" w:rsidRDefault="003A15C3" w:rsidP="00217D7D">
      <w:pPr>
        <w:pStyle w:val="ListParagraph"/>
        <w:widowControl/>
        <w:numPr>
          <w:ilvl w:val="0"/>
          <w:numId w:val="3"/>
        </w:numPr>
        <w:overflowPunct w:val="0"/>
        <w:ind w:right="720"/>
        <w:contextualSpacing/>
        <w:jc w:val="both"/>
        <w:textAlignment w:val="baseline"/>
      </w:pPr>
      <w:r w:rsidRPr="002D3336">
        <w:t>For a period of 5 years after this approval, the Firm shall conduct bi-annual (twice a year) review and testing of its procedures related to ensuring compliance with Reg SHO, specifically related to its order marking and locate procedures.</w:t>
      </w:r>
      <w:r w:rsidR="008865B8">
        <w:t xml:space="preserve"> </w:t>
      </w:r>
      <w:r w:rsidRPr="002D3336">
        <w:t xml:space="preserve"> The Firm’s review and testing measures </w:t>
      </w:r>
      <w:r w:rsidR="00311EB6">
        <w:t>shall</w:t>
      </w:r>
      <w:r w:rsidR="00311EB6" w:rsidRPr="002D3336">
        <w:t xml:space="preserve"> </w:t>
      </w:r>
      <w:r w:rsidRPr="002D3336">
        <w:t xml:space="preserve">be documented. </w:t>
      </w:r>
      <w:r w:rsidR="008865B8">
        <w:t xml:space="preserve"> </w:t>
      </w:r>
      <w:r w:rsidRPr="002D3336">
        <w:t xml:space="preserve">Any “red flags” noted during the Firm’s review and testing </w:t>
      </w:r>
      <w:r w:rsidR="00311EB6">
        <w:t>shall</w:t>
      </w:r>
      <w:r w:rsidR="00311EB6" w:rsidRPr="002D3336">
        <w:t xml:space="preserve"> </w:t>
      </w:r>
      <w:r w:rsidRPr="002D3336">
        <w:t>be addressed and documented.</w:t>
      </w:r>
      <w:r w:rsidR="008865B8">
        <w:t xml:space="preserve"> </w:t>
      </w:r>
      <w:r w:rsidRPr="002D3336">
        <w:t xml:space="preserve"> Any steps taken by the Firm to remediate along with any disciplinary actions taken </w:t>
      </w:r>
      <w:r w:rsidR="00311EB6">
        <w:t>shall</w:t>
      </w:r>
      <w:r w:rsidR="00311EB6" w:rsidRPr="002D3336">
        <w:t xml:space="preserve"> </w:t>
      </w:r>
      <w:r w:rsidRPr="002D3336">
        <w:t xml:space="preserve">be documented. The Firm shall segregate and maintain all documentation related to its bi-annual review testing for </w:t>
      </w:r>
      <w:r w:rsidR="00E51548">
        <w:t xml:space="preserve">ease of </w:t>
      </w:r>
      <w:r w:rsidRPr="002D3336">
        <w:t xml:space="preserve">review by FINRA staff; </w:t>
      </w:r>
    </w:p>
    <w:p w14:paraId="66E84101" w14:textId="77777777" w:rsidR="003A15C3" w:rsidRPr="002D3336" w:rsidRDefault="003A15C3" w:rsidP="00217D7D">
      <w:pPr>
        <w:pStyle w:val="ListParagraph"/>
        <w:ind w:left="1080" w:right="720"/>
        <w:jc w:val="both"/>
      </w:pPr>
    </w:p>
    <w:p w14:paraId="7712C330" w14:textId="0AB6B895" w:rsidR="003A15C3" w:rsidRPr="002D3336" w:rsidRDefault="003A15C3" w:rsidP="00217D7D">
      <w:pPr>
        <w:pStyle w:val="ListParagraph"/>
        <w:widowControl/>
        <w:numPr>
          <w:ilvl w:val="0"/>
          <w:numId w:val="3"/>
        </w:numPr>
        <w:overflowPunct w:val="0"/>
        <w:ind w:right="720"/>
        <w:contextualSpacing/>
        <w:jc w:val="both"/>
        <w:textAlignment w:val="baseline"/>
      </w:pPr>
      <w:r w:rsidRPr="002D3336">
        <w:t>For a period of 5 years after this approval, the Firm shall conduct bi-annual (twice a year) review and testing of its Reg SHO surveillance systems specifically related to its order marking and locate procedures to ensure that</w:t>
      </w:r>
      <w:r w:rsidR="00CD2251">
        <w:t xml:space="preserve"> the</w:t>
      </w:r>
      <w:r w:rsidRPr="002D3336">
        <w:t xml:space="preserve"> systems are accurately implemented and the Firm is in compliance with Reg SHO. </w:t>
      </w:r>
      <w:r w:rsidR="00E51548">
        <w:t xml:space="preserve"> </w:t>
      </w:r>
      <w:r w:rsidRPr="002D3336">
        <w:t xml:space="preserve">The Firm’s review and testing measures </w:t>
      </w:r>
      <w:r w:rsidR="00311EB6">
        <w:t>shall</w:t>
      </w:r>
      <w:r w:rsidR="00311EB6" w:rsidRPr="002D3336">
        <w:t xml:space="preserve"> </w:t>
      </w:r>
      <w:r w:rsidRPr="002D3336">
        <w:t xml:space="preserve">be documented. </w:t>
      </w:r>
      <w:r w:rsidR="00D17C03">
        <w:t xml:space="preserve"> </w:t>
      </w:r>
      <w:r w:rsidRPr="002D3336">
        <w:t>Any “red flags” noted during the Firm’s review and testing sh</w:t>
      </w:r>
      <w:r w:rsidR="00882B8B">
        <w:t>all</w:t>
      </w:r>
      <w:r w:rsidRPr="002D3336">
        <w:t xml:space="preserve"> be addressed and documented.</w:t>
      </w:r>
      <w:r w:rsidR="00D17C03">
        <w:t xml:space="preserve"> </w:t>
      </w:r>
      <w:r w:rsidRPr="002D3336">
        <w:t xml:space="preserve"> Any steps taken by the Firm to remediate along with any disciplinary actions taken sh</w:t>
      </w:r>
      <w:r w:rsidR="00882B8B">
        <w:t>all</w:t>
      </w:r>
      <w:r w:rsidRPr="002D3336">
        <w:t xml:space="preserve"> be documented.</w:t>
      </w:r>
      <w:r w:rsidR="006B6676">
        <w:t xml:space="preserve"> </w:t>
      </w:r>
      <w:r w:rsidRPr="002D3336">
        <w:t xml:space="preserve"> The Firm shall segregate and maintain all documentation related to its bi-annual review and testing for </w:t>
      </w:r>
      <w:r w:rsidR="00E51548">
        <w:t xml:space="preserve">ease of </w:t>
      </w:r>
      <w:r w:rsidRPr="002D3336">
        <w:t>review by FINRA staff</w:t>
      </w:r>
      <w:r w:rsidR="00E51548">
        <w:t>;</w:t>
      </w:r>
    </w:p>
    <w:p w14:paraId="25D703FF" w14:textId="77777777" w:rsidR="003A15C3" w:rsidRPr="002D3336" w:rsidRDefault="003A15C3" w:rsidP="003A15C3">
      <w:pPr>
        <w:pStyle w:val="ListParagraph"/>
        <w:ind w:left="1080"/>
        <w:jc w:val="both"/>
      </w:pPr>
    </w:p>
    <w:p w14:paraId="44C11558" w14:textId="3FA23FEC" w:rsidR="003A15C3" w:rsidRPr="002D3336" w:rsidRDefault="003A15C3" w:rsidP="00217D7D">
      <w:pPr>
        <w:pStyle w:val="ListParagraph"/>
        <w:widowControl/>
        <w:numPr>
          <w:ilvl w:val="0"/>
          <w:numId w:val="3"/>
        </w:numPr>
        <w:overflowPunct w:val="0"/>
        <w:ind w:right="720"/>
        <w:contextualSpacing/>
        <w:jc w:val="both"/>
        <w:textAlignment w:val="baseline"/>
      </w:pPr>
      <w:r w:rsidRPr="002D3336">
        <w:t xml:space="preserve">Annually, the Firm shall review its web-based training module with respect to Reg SHO, including compliance with order marking and locate procedures. </w:t>
      </w:r>
      <w:r w:rsidR="00D17C03">
        <w:t xml:space="preserve"> </w:t>
      </w:r>
      <w:r w:rsidRPr="002D3336">
        <w:t>The Firm sh</w:t>
      </w:r>
      <w:r w:rsidR="00882B8B">
        <w:t>all</w:t>
      </w:r>
      <w:r w:rsidRPr="002D3336">
        <w:t xml:space="preserve"> also incorporate any necessary changes based on changes to the Firm’s business model, risks</w:t>
      </w:r>
      <w:r w:rsidR="00E51548">
        <w:t>,</w:t>
      </w:r>
      <w:r w:rsidRPr="002D3336">
        <w:t xml:space="preserve"> and controls. </w:t>
      </w:r>
      <w:r w:rsidR="00882B8B">
        <w:t xml:space="preserve"> </w:t>
      </w:r>
      <w:r w:rsidRPr="002D3336">
        <w:t xml:space="preserve">The Firm shall </w:t>
      </w:r>
      <w:r w:rsidRPr="002D3336">
        <w:lastRenderedPageBreak/>
        <w:t>document its review and any updates made.</w:t>
      </w:r>
      <w:r w:rsidR="00D17C03">
        <w:t xml:space="preserve"> </w:t>
      </w:r>
      <w:r w:rsidRPr="002D3336">
        <w:t xml:space="preserve"> The Firm shall segregate and maintain the documentation for ease of review by FINRA staff; </w:t>
      </w:r>
    </w:p>
    <w:p w14:paraId="3E5CA44A" w14:textId="77777777" w:rsidR="003A15C3" w:rsidRPr="002D3336" w:rsidRDefault="003A15C3" w:rsidP="00217D7D">
      <w:pPr>
        <w:pStyle w:val="ListParagraph"/>
        <w:ind w:left="1080" w:right="720"/>
        <w:jc w:val="both"/>
      </w:pPr>
    </w:p>
    <w:p w14:paraId="03178420" w14:textId="77989CFE" w:rsidR="003A15C3" w:rsidRPr="002D3336" w:rsidRDefault="003A15C3" w:rsidP="00217D7D">
      <w:pPr>
        <w:pStyle w:val="ListParagraph"/>
        <w:widowControl/>
        <w:numPr>
          <w:ilvl w:val="0"/>
          <w:numId w:val="3"/>
        </w:numPr>
        <w:overflowPunct w:val="0"/>
        <w:ind w:right="720"/>
        <w:contextualSpacing/>
        <w:jc w:val="both"/>
        <w:textAlignment w:val="baseline"/>
      </w:pPr>
      <w:r w:rsidRPr="002D3336">
        <w:t xml:space="preserve">If any updates are made with respect to the above training as it relates to Reg SHO, the Firm </w:t>
      </w:r>
      <w:r w:rsidR="00311EB6">
        <w:t>shall</w:t>
      </w:r>
      <w:r w:rsidRPr="002D3336">
        <w:t xml:space="preserve"> incorporate the updates into its annual training which will be mandatory for all BTIG Sales and Trading personnel and other relevant FINRA registered persons personnel. </w:t>
      </w:r>
      <w:r w:rsidR="008865B8">
        <w:t xml:space="preserve"> </w:t>
      </w:r>
      <w:r w:rsidRPr="002D3336">
        <w:t xml:space="preserve">New Sales and Trading personnel and other relevant FINRA registered personnel must complete said training within 120 days of date of hire. </w:t>
      </w:r>
      <w:r w:rsidR="00D17C03">
        <w:t xml:space="preserve"> </w:t>
      </w:r>
      <w:r w:rsidRPr="002D3336">
        <w:t>If updates are made to training as it relates to Reg SHO, the Firm shall maintain and segregate the training materials, along with documentation of the completion of the training by FINRA registered persons</w:t>
      </w:r>
      <w:r w:rsidR="00E51548">
        <w:t>,</w:t>
      </w:r>
      <w:r w:rsidRPr="002D3336">
        <w:t xml:space="preserve"> for ease of review by FINRA staff; </w:t>
      </w:r>
    </w:p>
    <w:p w14:paraId="38347FEA" w14:textId="77777777" w:rsidR="003A15C3" w:rsidRPr="002D3336" w:rsidRDefault="003A15C3" w:rsidP="00217D7D">
      <w:pPr>
        <w:pStyle w:val="ListParagraph"/>
        <w:ind w:left="1080" w:right="720"/>
        <w:jc w:val="both"/>
      </w:pPr>
    </w:p>
    <w:p w14:paraId="511C0801" w14:textId="5AB74FA3" w:rsidR="003A15C3" w:rsidRPr="002D3336" w:rsidRDefault="003A15C3" w:rsidP="00217D7D">
      <w:pPr>
        <w:pStyle w:val="ListParagraph"/>
        <w:widowControl/>
        <w:numPr>
          <w:ilvl w:val="0"/>
          <w:numId w:val="3"/>
        </w:numPr>
        <w:overflowPunct w:val="0"/>
        <w:ind w:right="720"/>
        <w:contextualSpacing/>
        <w:jc w:val="both"/>
        <w:textAlignment w:val="baseline"/>
      </w:pPr>
      <w:r w:rsidRPr="002D3336">
        <w:t>The Firm shall obtain written approval from FINRA’s Statutory Disqualification Group prior to changing any provision of the Plan; and</w:t>
      </w:r>
    </w:p>
    <w:p w14:paraId="3B6BF098" w14:textId="77777777" w:rsidR="003A15C3" w:rsidRPr="002D3336" w:rsidRDefault="003A15C3" w:rsidP="00217D7D">
      <w:pPr>
        <w:pStyle w:val="ListParagraph"/>
        <w:ind w:left="1080" w:right="720"/>
        <w:jc w:val="both"/>
      </w:pPr>
    </w:p>
    <w:p w14:paraId="36F9D614" w14:textId="67B264DE" w:rsidR="003A15C3" w:rsidRPr="002D3336" w:rsidRDefault="003A15C3" w:rsidP="00217D7D">
      <w:pPr>
        <w:pStyle w:val="ListParagraph"/>
        <w:widowControl/>
        <w:numPr>
          <w:ilvl w:val="0"/>
          <w:numId w:val="3"/>
        </w:numPr>
        <w:overflowPunct w:val="0"/>
        <w:ind w:right="720"/>
        <w:contextualSpacing/>
        <w:jc w:val="both"/>
        <w:textAlignment w:val="baseline"/>
      </w:pPr>
      <w:r w:rsidRPr="002D3336">
        <w:t xml:space="preserve">The Firm shall submit any proposed changes or other requested information under this Plan to </w:t>
      </w:r>
      <w:hyperlink r:id="rId8" w:history="1">
        <w:r w:rsidRPr="0027513D">
          <w:rPr>
            <w:rStyle w:val="Hyperlink"/>
            <w:color w:val="auto"/>
          </w:rPr>
          <w:t>SDMailbox@finra.org</w:t>
        </w:r>
      </w:hyperlink>
      <w:r w:rsidRPr="002D3336">
        <w:t xml:space="preserve">.  </w:t>
      </w:r>
    </w:p>
    <w:p w14:paraId="68F2BDCD" w14:textId="62E04A62" w:rsidR="00874C1B" w:rsidRPr="00741D09" w:rsidRDefault="0012141C" w:rsidP="00874C1B">
      <w:pPr>
        <w:pStyle w:val="BodyText"/>
        <w:widowControl/>
        <w:spacing w:after="0"/>
        <w:ind w:firstLine="720"/>
      </w:pPr>
      <w:r>
        <w:t xml:space="preserve">If the Firm’s request to continue its membership in FINRA is approved, </w:t>
      </w:r>
      <w:r w:rsidR="00874C1B" w:rsidRPr="00741D09">
        <w:t xml:space="preserve">Member Supervision represents that FINRA intends to utilize its examination and surveillance processes to assess the Firm’s continued compliance with the standards prescribed by Exchange Act Rule 19h-1 and FINRA Rule 9523.  </w:t>
      </w:r>
    </w:p>
    <w:p w14:paraId="3C4DFFF5" w14:textId="77777777" w:rsidR="00874C1B" w:rsidRDefault="00874C1B" w:rsidP="00E562A6">
      <w:pPr>
        <w:keepNext/>
        <w:widowControl/>
        <w:tabs>
          <w:tab w:val="left" w:pos="860"/>
        </w:tabs>
        <w:ind w:left="720" w:hanging="720"/>
        <w:rPr>
          <w:b/>
          <w:color w:val="080808"/>
        </w:rPr>
      </w:pPr>
    </w:p>
    <w:p w14:paraId="44D0E1C7" w14:textId="447AF677" w:rsidR="00F76BDF" w:rsidRDefault="002B7FC0" w:rsidP="00E562A6">
      <w:pPr>
        <w:keepNext/>
        <w:widowControl/>
        <w:tabs>
          <w:tab w:val="left" w:pos="860"/>
        </w:tabs>
        <w:ind w:left="720" w:hanging="720"/>
        <w:rPr>
          <w:b/>
          <w:color w:val="080808"/>
        </w:rPr>
      </w:pPr>
      <w:r w:rsidRPr="002B7FC0">
        <w:rPr>
          <w:b/>
          <w:color w:val="080808"/>
        </w:rPr>
        <w:t xml:space="preserve">V. </w:t>
      </w:r>
      <w:r>
        <w:rPr>
          <w:b/>
          <w:color w:val="080808"/>
        </w:rPr>
        <w:tab/>
      </w:r>
      <w:r w:rsidR="001977C6">
        <w:rPr>
          <w:b/>
          <w:color w:val="080808"/>
        </w:rPr>
        <w:t>Discussion</w:t>
      </w:r>
    </w:p>
    <w:p w14:paraId="1C726F5B" w14:textId="77777777" w:rsidR="00F76BDF" w:rsidRDefault="00F76BDF" w:rsidP="00E562A6">
      <w:pPr>
        <w:keepNext/>
        <w:widowControl/>
        <w:tabs>
          <w:tab w:val="left" w:pos="860"/>
        </w:tabs>
        <w:ind w:left="720" w:hanging="720"/>
        <w:rPr>
          <w:b/>
          <w:color w:val="080808"/>
        </w:rPr>
      </w:pPr>
    </w:p>
    <w:p w14:paraId="6D26A449" w14:textId="1BA4ACFF" w:rsidR="00C825B2" w:rsidRDefault="00F76BDF" w:rsidP="00E562A6">
      <w:pPr>
        <w:pStyle w:val="BodyText"/>
        <w:keepNext/>
        <w:widowControl/>
        <w:tabs>
          <w:tab w:val="left" w:pos="720"/>
        </w:tabs>
        <w:spacing w:after="0"/>
      </w:pPr>
      <w:r>
        <w:rPr>
          <w:b/>
          <w:color w:val="080808"/>
        </w:rPr>
        <w:tab/>
      </w:r>
      <w:r w:rsidR="00C825B2" w:rsidRPr="0057598D">
        <w:t xml:space="preserve">Member </w:t>
      </w:r>
      <w:r w:rsidR="00DC672E">
        <w:t>Supervision</w:t>
      </w:r>
      <w:r w:rsidR="00C825B2" w:rsidRPr="0057598D">
        <w:t xml:space="preserve"> recommends approv</w:t>
      </w:r>
      <w:r w:rsidR="00C825B2">
        <w:t>ing</w:t>
      </w:r>
      <w:r w:rsidR="00C825B2" w:rsidRPr="0057598D">
        <w:t xml:space="preserve"> the </w:t>
      </w:r>
      <w:r w:rsidR="00C825B2">
        <w:t xml:space="preserve">Firm’s request </w:t>
      </w:r>
      <w:r w:rsidR="00C825B2" w:rsidRPr="0057598D">
        <w:t xml:space="preserve">to </w:t>
      </w:r>
      <w:r w:rsidR="00D17C03">
        <w:t>c</w:t>
      </w:r>
      <w:r w:rsidR="00C825B2" w:rsidRPr="0057598D">
        <w:t xml:space="preserve">ontinue </w:t>
      </w:r>
      <w:r w:rsidR="00C825B2">
        <w:t xml:space="preserve">its </w:t>
      </w:r>
      <w:r w:rsidR="00C825B2" w:rsidRPr="0057598D">
        <w:t xml:space="preserve">membership in FINRA. </w:t>
      </w:r>
      <w:r w:rsidR="00C825B2">
        <w:t xml:space="preserve"> After carefully reviewing the entire record in this matter, we approve the Application.</w:t>
      </w:r>
      <w:r w:rsidR="00D631CF">
        <w:t xml:space="preserve">  </w:t>
      </w:r>
    </w:p>
    <w:p w14:paraId="7E79877E" w14:textId="77777777" w:rsidR="002C65C2" w:rsidRDefault="002C65C2" w:rsidP="002C65C2">
      <w:pPr>
        <w:pStyle w:val="BodyText"/>
        <w:keepNext/>
        <w:widowControl/>
        <w:tabs>
          <w:tab w:val="left" w:pos="720"/>
        </w:tabs>
        <w:spacing w:after="0"/>
      </w:pPr>
    </w:p>
    <w:p w14:paraId="00DA36C0" w14:textId="77777777" w:rsidR="00D00C75" w:rsidRDefault="00D00C75" w:rsidP="00D00C75">
      <w:pPr>
        <w:spacing w:after="240"/>
        <w:ind w:firstLine="720"/>
      </w:pPr>
      <w:r>
        <w:t>In evaluating</w:t>
      </w:r>
      <w:r w:rsidRPr="006F0C91">
        <w:t xml:space="preserve"> </w:t>
      </w:r>
      <w:r>
        <w:t xml:space="preserve">an </w:t>
      </w:r>
      <w:r w:rsidRPr="006F0C91">
        <w:t>application like th</w:t>
      </w:r>
      <w:r>
        <w:t>is</w:t>
      </w:r>
      <w:r w:rsidRPr="006F0C91">
        <w:t xml:space="preserve">, we assess </w:t>
      </w:r>
      <w:r>
        <w:t xml:space="preserve">whether the statutorily disqualified firm seeking to continue its membership in FINRA has demonstrated </w:t>
      </w:r>
      <w:r w:rsidRPr="00073539">
        <w:t xml:space="preserve">that its </w:t>
      </w:r>
      <w:r>
        <w:t xml:space="preserve">continued membership </w:t>
      </w:r>
      <w:r w:rsidRPr="00073539">
        <w:t xml:space="preserve">is </w:t>
      </w:r>
      <w:r>
        <w:t xml:space="preserve">consistent with </w:t>
      </w:r>
      <w:r w:rsidRPr="00073539">
        <w:t xml:space="preserve">the public interest and does not create an unreasonable risk of harm to the market or investors.  </w:t>
      </w:r>
      <w:r w:rsidRPr="00073539">
        <w:rPr>
          <w:i/>
        </w:rPr>
        <w:t xml:space="preserve">See </w:t>
      </w:r>
      <w:r w:rsidRPr="006F0C91">
        <w:t>FINRA By-Laws, Art. III, Sec. (3)(d)</w:t>
      </w:r>
      <w:r>
        <w:t xml:space="preserve">; </w:t>
      </w:r>
      <w:r w:rsidRPr="00073539">
        <w:rPr>
          <w:i/>
        </w:rPr>
        <w:t>cf.</w:t>
      </w:r>
      <w:r w:rsidRPr="006F0C91">
        <w:rPr>
          <w:i/>
        </w:rPr>
        <w:t xml:space="preserve"> Frank Kufrovich</w:t>
      </w:r>
      <w:r w:rsidRPr="006F0C91">
        <w:t>, 55 S.E.C. 616, 624 (2002) (holding that FINRA “may deny an application by a firm for association with a statutorily-disqualified individual if it determines that employment under the proposed plan would not be consistent with the public interest an</w:t>
      </w:r>
      <w:r>
        <w:t>d the protection of investors”).</w:t>
      </w:r>
      <w:r w:rsidRPr="006F0C91">
        <w:t xml:space="preserve"> </w:t>
      </w:r>
      <w:r>
        <w:t xml:space="preserve"> </w:t>
      </w:r>
      <w:r w:rsidRPr="006F0C91">
        <w:t xml:space="preserve">Factors that bear on our assessment include the nature and gravity of the statutorily disqualifying misconduct, the time elapsed since its occurrence, the restrictions imposed, </w:t>
      </w:r>
      <w:r>
        <w:t xml:space="preserve">and </w:t>
      </w:r>
      <w:r w:rsidRPr="006F0C91">
        <w:t>whether there has been any interven</w:t>
      </w:r>
      <w:r>
        <w:t>ing misconduct</w:t>
      </w:r>
      <w:r w:rsidRPr="006F0C91">
        <w:t xml:space="preserve">.    </w:t>
      </w:r>
      <w:r>
        <w:t xml:space="preserve">  </w:t>
      </w:r>
    </w:p>
    <w:p w14:paraId="1441454D" w14:textId="46CDC11D" w:rsidR="00D00C75" w:rsidRDefault="00D00C75" w:rsidP="00D00C75">
      <w:pPr>
        <w:widowControl/>
        <w:ind w:firstLine="720"/>
      </w:pPr>
      <w:r w:rsidRPr="00E849DC">
        <w:t>We recogni</w:t>
      </w:r>
      <w:r w:rsidRPr="00322A98">
        <w:t xml:space="preserve">ze that </w:t>
      </w:r>
      <w:r>
        <w:t xml:space="preserve">the Final Judgment involved </w:t>
      </w:r>
      <w:r w:rsidRPr="00322A98">
        <w:t xml:space="preserve">serious </w:t>
      </w:r>
      <w:r>
        <w:t xml:space="preserve">violations of securities rules and regulations.  </w:t>
      </w:r>
      <w:r w:rsidRPr="00D23735">
        <w:t xml:space="preserve">We note, however, that </w:t>
      </w:r>
      <w:r w:rsidR="008865B8">
        <w:t xml:space="preserve">the misconduct underlying the Final Judgment occurred over a relatively brief period and involved a single customer.  Further, </w:t>
      </w:r>
      <w:r w:rsidRPr="00D23735">
        <w:t xml:space="preserve">the </w:t>
      </w:r>
      <w:r>
        <w:t xml:space="preserve">Final Judgment did not expel or suspend the Firm.  Nor did the Final Judgment </w:t>
      </w:r>
      <w:r>
        <w:lastRenderedPageBreak/>
        <w:t xml:space="preserve">restrict or limit the Firm’s securities activities beyond enjoining the Firm from violating the </w:t>
      </w:r>
      <w:r w:rsidR="00D17C03">
        <w:t xml:space="preserve">Exchange </w:t>
      </w:r>
      <w:r>
        <w:t>Act</w:t>
      </w:r>
      <w:r w:rsidR="009128BB">
        <w:t>, and the Firm has complied with all terms of the Final Judgment</w:t>
      </w:r>
      <w:r>
        <w:t>.</w:t>
      </w:r>
      <w:r w:rsidR="000A7985">
        <w:rPr>
          <w:rStyle w:val="FootnoteReference"/>
        </w:rPr>
        <w:footnoteReference w:id="4"/>
      </w:r>
      <w:r>
        <w:t xml:space="preserve">    </w:t>
      </w:r>
    </w:p>
    <w:p w14:paraId="222F7527" w14:textId="77777777" w:rsidR="00D00C75" w:rsidRDefault="00D00C75" w:rsidP="00D00C75">
      <w:pPr>
        <w:widowControl/>
        <w:ind w:firstLine="720"/>
      </w:pPr>
    </w:p>
    <w:p w14:paraId="4E731A86" w14:textId="45242594" w:rsidR="00D00C75" w:rsidRDefault="00D00C75" w:rsidP="00D00C75">
      <w:pPr>
        <w:widowControl/>
        <w:ind w:firstLine="720"/>
      </w:pPr>
      <w:r>
        <w:t xml:space="preserve">Moreover, since the </w:t>
      </w:r>
      <w:r w:rsidR="009128BB">
        <w:t>SEC Complaint</w:t>
      </w:r>
      <w:r>
        <w:t xml:space="preserve">, the Firm represents that it has </w:t>
      </w:r>
      <w:r w:rsidR="000A7985">
        <w:t xml:space="preserve">implemented enhanced training and compliance efforts and supervisory procedures designed to prevent future Regulation SHO violations and that it </w:t>
      </w:r>
      <w:r>
        <w:t xml:space="preserve">updated its WSPs </w:t>
      </w:r>
      <w:r w:rsidR="000A7985">
        <w:t xml:space="preserve">in response to the Final Judgment.  </w:t>
      </w:r>
      <w:r>
        <w:t xml:space="preserve">Specifically, </w:t>
      </w:r>
      <w:r w:rsidR="000A7985">
        <w:t xml:space="preserve">in June 2022 </w:t>
      </w:r>
      <w:r>
        <w:t>the Firm</w:t>
      </w:r>
      <w:r w:rsidR="000A7985">
        <w:t xml:space="preserve"> introduced a new training module course specific to Regulation SHO that is required training for all Sales Trading, Equity Trading, Corporate and Venture services, Franchise sales, Global Program Trading, Operations, Options, Outsource Trading, Prime Brokerage, Direct Market Access, and Trading Compliance Departments.  Further, the Firm revised its WSPs that address compliance with Regulation SHO to help ensure that the misconduct underlying the Final Judgment is not repeated.  </w:t>
      </w:r>
    </w:p>
    <w:p w14:paraId="1C4F8845" w14:textId="77777777" w:rsidR="00D00C75" w:rsidRDefault="00D00C75" w:rsidP="00D00C75">
      <w:pPr>
        <w:widowControl/>
        <w:ind w:firstLine="720"/>
      </w:pPr>
    </w:p>
    <w:p w14:paraId="5A2B6BC1" w14:textId="09102B63" w:rsidR="00C825B2" w:rsidRDefault="0019262F" w:rsidP="005E7CBD">
      <w:pPr>
        <w:widowControl/>
        <w:ind w:firstLine="720"/>
      </w:pPr>
      <w:r>
        <w:t xml:space="preserve">We further </w:t>
      </w:r>
      <w:r w:rsidR="000A7985">
        <w:t xml:space="preserve">agree with Member Supervision that the Firm’s regulatory history </w:t>
      </w:r>
      <w:r w:rsidR="0061046A">
        <w:t xml:space="preserve">should not prevent the continuance of the Firm as a FINRA member.  The Firm took corrective actions in response to the AWCs entered against it and addressed deficiencies noted in FINRA examinations.  </w:t>
      </w:r>
      <w:r w:rsidR="00C825B2">
        <w:t xml:space="preserve">At this time, we are satisfied, based in part upon the Firm’s representations, Member </w:t>
      </w:r>
      <w:r w:rsidR="00DF5436">
        <w:t>Supervis</w:t>
      </w:r>
      <w:r w:rsidR="00C825B2">
        <w:t>ion’s representations</w:t>
      </w:r>
      <w:r w:rsidR="005D2096">
        <w:t>,</w:t>
      </w:r>
      <w:r w:rsidR="00C825B2">
        <w:t xml:space="preserve"> </w:t>
      </w:r>
      <w:r w:rsidR="0061046A">
        <w:t xml:space="preserve">the heightened supervisory plan, </w:t>
      </w:r>
      <w:r w:rsidR="00C825B2">
        <w:t>and the record currently before us, that the Firm’s continued membership in FINRA is consistent with the public interest and does not create an unreasonable risk of harm to the market or investors.</w:t>
      </w:r>
      <w:r w:rsidR="00B25371">
        <w:t xml:space="preserve"> </w:t>
      </w:r>
      <w:r w:rsidR="00C825B2">
        <w:t> </w:t>
      </w:r>
      <w:r w:rsidR="00C825B2" w:rsidRPr="00F963EA">
        <w:t>Accordingly, we approve the Firm’s Application to continue its membership in FINRA as set forth herein.</w:t>
      </w:r>
      <w:r w:rsidR="00B25371">
        <w:rPr>
          <w:rStyle w:val="FootnoteReference"/>
        </w:rPr>
        <w:footnoteReference w:id="5"/>
      </w:r>
      <w:r w:rsidR="00B25371">
        <w:t xml:space="preserve"> </w:t>
      </w:r>
      <w:r w:rsidR="00C825B2" w:rsidRPr="00F963EA">
        <w:t xml:space="preserve"> In conformity with the provisions of </w:t>
      </w:r>
      <w:r w:rsidR="00C825B2">
        <w:t>Exchange Act</w:t>
      </w:r>
      <w:r w:rsidR="00C825B2" w:rsidRPr="00F963EA">
        <w:t xml:space="preserve"> Rule 19h-1, the </w:t>
      </w:r>
      <w:r w:rsidR="00C4692F">
        <w:t xml:space="preserve">approval of the </w:t>
      </w:r>
      <w:r w:rsidR="00C825B2" w:rsidRPr="00F963EA">
        <w:t xml:space="preserve">continued membership of the Firm will become effective within 30 days of the receipt of this notice by the </w:t>
      </w:r>
      <w:r w:rsidR="00D733DF">
        <w:t>SEC</w:t>
      </w:r>
      <w:r w:rsidR="00C825B2" w:rsidRPr="00F963EA">
        <w:t xml:space="preserve">, unless otherwise notified by the </w:t>
      </w:r>
      <w:r w:rsidR="00D733DF">
        <w:t>SEC</w:t>
      </w:r>
      <w:r w:rsidR="00C825B2" w:rsidRPr="00F963EA">
        <w:t>.</w:t>
      </w:r>
    </w:p>
    <w:p w14:paraId="6E6BB3DA" w14:textId="77777777" w:rsidR="0095743A" w:rsidRDefault="0095743A" w:rsidP="009B6B10">
      <w:pPr>
        <w:pStyle w:val="BodyTextIndent"/>
        <w:ind w:left="3240" w:firstLine="360"/>
      </w:pPr>
    </w:p>
    <w:p w14:paraId="5FA5C8CA" w14:textId="5842B037" w:rsidR="009B6B10" w:rsidRPr="003E404A" w:rsidRDefault="009B6B10" w:rsidP="0095743A">
      <w:pPr>
        <w:widowControl/>
        <w:autoSpaceDE/>
        <w:autoSpaceDN/>
        <w:adjustRightInd/>
        <w:ind w:left="2520" w:firstLine="720"/>
      </w:pPr>
      <w:r w:rsidRPr="003E404A">
        <w:t>On Behalf of the National Adjudicatory Council,</w:t>
      </w:r>
    </w:p>
    <w:p w14:paraId="7614CDF6" w14:textId="5BBC7EB1" w:rsidR="009B6B10" w:rsidRDefault="009B6B10" w:rsidP="009B6B10">
      <w:pPr>
        <w:pStyle w:val="BodyTextIndent"/>
        <w:ind w:left="3240" w:firstLine="360"/>
      </w:pPr>
    </w:p>
    <w:p w14:paraId="69553666" w14:textId="77777777" w:rsidR="0025729E" w:rsidRPr="003E404A" w:rsidRDefault="0025729E" w:rsidP="009B6B10">
      <w:pPr>
        <w:pStyle w:val="BodyTextIndent"/>
        <w:ind w:left="3240" w:firstLine="360"/>
      </w:pPr>
    </w:p>
    <w:p w14:paraId="172E5BBE" w14:textId="6CC1F7F1" w:rsidR="009B6B10" w:rsidRPr="003E404A" w:rsidRDefault="009B6B10" w:rsidP="0061046A">
      <w:pPr>
        <w:pStyle w:val="BodyTextIndent"/>
        <w:spacing w:after="0"/>
        <w:ind w:left="3240"/>
      </w:pPr>
      <w:r w:rsidRPr="003E404A">
        <w:t>___________________________________</w:t>
      </w:r>
    </w:p>
    <w:p w14:paraId="688247C9" w14:textId="77777777" w:rsidR="009B6B10" w:rsidRPr="003E404A" w:rsidRDefault="009B6B10" w:rsidP="0061046A">
      <w:pPr>
        <w:pStyle w:val="BodyTextIndent"/>
        <w:spacing w:after="0"/>
        <w:ind w:left="2880" w:firstLine="360"/>
      </w:pPr>
      <w:r w:rsidRPr="003E404A">
        <w:t>Jennifer Mitchell Piorko</w:t>
      </w:r>
    </w:p>
    <w:p w14:paraId="6908D9F6" w14:textId="77777777" w:rsidR="009B6B10" w:rsidRPr="003E404A" w:rsidRDefault="009B6B10" w:rsidP="0061046A">
      <w:pPr>
        <w:pStyle w:val="BodyTextIndent"/>
        <w:spacing w:after="0"/>
        <w:ind w:left="3240"/>
      </w:pPr>
      <w:r w:rsidRPr="003E404A">
        <w:t>Vice President and Deputy Corporate Secretary</w:t>
      </w:r>
    </w:p>
    <w:p w14:paraId="139E9A72" w14:textId="77777777" w:rsidR="00C825B2" w:rsidRDefault="00C825B2" w:rsidP="009B6B10">
      <w:pPr>
        <w:pStyle w:val="BodyTextIndent"/>
        <w:spacing w:after="0"/>
        <w:ind w:left="3600"/>
      </w:pPr>
    </w:p>
    <w:sectPr w:rsidR="00C825B2" w:rsidSect="00217D7D">
      <w:headerReference w:type="default" r:id="rId9"/>
      <w:footerReference w:type="default" r:id="rId10"/>
      <w:headerReference w:type="first" r:id="rId11"/>
      <w:footerReference w:type="first" r:id="rId12"/>
      <w:pgSz w:w="12240" w:h="15840" w:code="1"/>
      <w:pgMar w:top="1440" w:right="1800" w:bottom="1440" w:left="1800" w:header="720" w:footer="720" w:gutter="0"/>
      <w:paperSrc w:first="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63DD" w14:textId="77777777" w:rsidR="008678D3" w:rsidRDefault="008678D3">
      <w:r>
        <w:separator/>
      </w:r>
    </w:p>
  </w:endnote>
  <w:endnote w:type="continuationSeparator" w:id="0">
    <w:p w14:paraId="702D64DB" w14:textId="77777777" w:rsidR="008678D3" w:rsidRDefault="0086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051"/>
      <w:docPartObj>
        <w:docPartGallery w:val="Page Numbers (Bottom of Page)"/>
        <w:docPartUnique/>
      </w:docPartObj>
    </w:sdtPr>
    <w:sdtEndPr/>
    <w:sdtContent>
      <w:p w14:paraId="2F7CEAA0" w14:textId="77777777" w:rsidR="001831F8" w:rsidRDefault="001831F8" w:rsidP="006A3BA3">
        <w:pPr>
          <w:pStyle w:val="Footer"/>
          <w:jc w:val="center"/>
        </w:pPr>
        <w:r>
          <w:fldChar w:fldCharType="begin"/>
        </w:r>
        <w:r>
          <w:instrText xml:space="preserve"> PAGE   \* MERGEFORMAT </w:instrText>
        </w:r>
        <w:r>
          <w:fldChar w:fldCharType="separate"/>
        </w:r>
        <w:r w:rsidR="0032740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2BAB" w14:textId="77777777" w:rsidR="001831F8" w:rsidRDefault="001831F8">
    <w:pPr>
      <w:pStyle w:val="Footer"/>
      <w:jc w:val="center"/>
    </w:pPr>
  </w:p>
  <w:p w14:paraId="59221164" w14:textId="77777777" w:rsidR="001831F8" w:rsidRDefault="0018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5A7E" w14:textId="77777777" w:rsidR="008678D3" w:rsidRDefault="008678D3">
      <w:r>
        <w:separator/>
      </w:r>
    </w:p>
  </w:footnote>
  <w:footnote w:type="continuationSeparator" w:id="0">
    <w:p w14:paraId="760BC653" w14:textId="77777777" w:rsidR="008678D3" w:rsidRDefault="008678D3" w:rsidP="006A3BA3">
      <w:r>
        <w:separator/>
      </w:r>
    </w:p>
    <w:p w14:paraId="3CC46147" w14:textId="77777777" w:rsidR="008678D3" w:rsidRPr="006A3BA3" w:rsidRDefault="008678D3" w:rsidP="006A3BA3">
      <w:pPr>
        <w:pStyle w:val="Footer"/>
        <w:spacing w:before="120" w:after="120"/>
      </w:pPr>
      <w:r w:rsidRPr="000A30D2">
        <w:t>[cont’d]</w:t>
      </w:r>
    </w:p>
  </w:footnote>
  <w:footnote w:type="continuationNotice" w:id="1">
    <w:p w14:paraId="7F50B2CC" w14:textId="77777777" w:rsidR="008678D3" w:rsidRDefault="008678D3" w:rsidP="006A3BA3">
      <w:pPr>
        <w:spacing w:before="120" w:after="120"/>
        <w:jc w:val="right"/>
      </w:pPr>
      <w:r w:rsidRPr="000A30D2">
        <w:t>[Footnote continued on next page]</w:t>
      </w:r>
    </w:p>
  </w:footnote>
  <w:footnote w:id="2">
    <w:p w14:paraId="4BC55813" w14:textId="0CD144A5" w:rsidR="001D0836" w:rsidRPr="00F87111" w:rsidRDefault="001D0836" w:rsidP="008865B8">
      <w:r w:rsidRPr="00F87111">
        <w:rPr>
          <w:rStyle w:val="FootnoteReference"/>
        </w:rPr>
        <w:footnoteRef/>
      </w:r>
      <w:r w:rsidRPr="00F87111">
        <w:t xml:space="preserve"> </w:t>
      </w:r>
      <w:r w:rsidRPr="00F87111">
        <w:tab/>
      </w:r>
      <w:r w:rsidR="00294793">
        <w:t xml:space="preserve">Exchange Act </w:t>
      </w:r>
      <w:r w:rsidRPr="00F87111">
        <w:t xml:space="preserve">Section 3(a)(39)(F), which incorporates by reference Exchange Act Section 15(b)(4)(C), provides that a member firm is subject to statutory disqualification if it is enjoined from, among other things, engaging </w:t>
      </w:r>
      <w:r w:rsidR="008865B8">
        <w:t xml:space="preserve">or continuing to engage </w:t>
      </w:r>
      <w:r w:rsidRPr="00F87111">
        <w:t>in any conduct or practice as a broker-dealer or investment adviser, or in connection with the purchase or sale of any security</w:t>
      </w:r>
      <w:r w:rsidR="008865B8" w:rsidRPr="008865B8">
        <w:t>.</w:t>
      </w:r>
      <w:r w:rsidRPr="00F87111">
        <w:t xml:space="preserve">   </w:t>
      </w:r>
    </w:p>
  </w:footnote>
  <w:footnote w:id="3">
    <w:p w14:paraId="241065A1" w14:textId="70F839C3" w:rsidR="00D5071E" w:rsidRPr="00AE11D1" w:rsidRDefault="00D5071E" w:rsidP="00A91CC6">
      <w:pPr>
        <w:pStyle w:val="FootnoteText"/>
        <w:rPr>
          <w:b/>
          <w:bCs/>
          <w:sz w:val="24"/>
          <w:szCs w:val="24"/>
        </w:rPr>
      </w:pPr>
      <w:r w:rsidRPr="00F87111">
        <w:rPr>
          <w:rStyle w:val="FootnoteReference"/>
          <w:sz w:val="24"/>
          <w:szCs w:val="24"/>
        </w:rPr>
        <w:footnoteRef/>
      </w:r>
      <w:r w:rsidRPr="00F87111">
        <w:rPr>
          <w:sz w:val="24"/>
          <w:szCs w:val="24"/>
        </w:rPr>
        <w:t xml:space="preserve"> </w:t>
      </w:r>
      <w:r w:rsidR="00F87111">
        <w:rPr>
          <w:sz w:val="24"/>
          <w:szCs w:val="24"/>
        </w:rPr>
        <w:tab/>
      </w:r>
      <w:r w:rsidR="00A91CC6">
        <w:rPr>
          <w:sz w:val="24"/>
          <w:szCs w:val="24"/>
        </w:rPr>
        <w:t xml:space="preserve">John Quigley </w:t>
      </w:r>
      <w:r w:rsidRPr="00F87111">
        <w:rPr>
          <w:sz w:val="24"/>
          <w:szCs w:val="24"/>
        </w:rPr>
        <w:t>(“</w:t>
      </w:r>
      <w:r w:rsidR="00A91CC6">
        <w:rPr>
          <w:sz w:val="24"/>
          <w:szCs w:val="24"/>
        </w:rPr>
        <w:t>Quigley</w:t>
      </w:r>
      <w:r w:rsidRPr="00F87111">
        <w:rPr>
          <w:sz w:val="24"/>
          <w:szCs w:val="24"/>
        </w:rPr>
        <w:t xml:space="preserve">”) is statutorily disqualified </w:t>
      </w:r>
      <w:r w:rsidR="00F87111">
        <w:rPr>
          <w:sz w:val="24"/>
          <w:szCs w:val="24"/>
        </w:rPr>
        <w:t xml:space="preserve">because </w:t>
      </w:r>
      <w:r w:rsidRPr="00F87111">
        <w:rPr>
          <w:sz w:val="24"/>
          <w:szCs w:val="24"/>
        </w:rPr>
        <w:t>of a</w:t>
      </w:r>
      <w:r w:rsidR="00F87111">
        <w:rPr>
          <w:sz w:val="24"/>
          <w:szCs w:val="24"/>
        </w:rPr>
        <w:t xml:space="preserve"> </w:t>
      </w:r>
      <w:r w:rsidR="00A91CC6">
        <w:rPr>
          <w:sz w:val="24"/>
          <w:szCs w:val="24"/>
        </w:rPr>
        <w:t>January 1999 SEC order, which found that he willfully aided and abetted and caused violations of Exchange Act Section 15 and Exchange Act Rules 15c1-2 and 15c2-7 in connection with market</w:t>
      </w:r>
      <w:r w:rsidR="008865B8">
        <w:rPr>
          <w:sz w:val="24"/>
          <w:szCs w:val="24"/>
        </w:rPr>
        <w:t>-</w:t>
      </w:r>
      <w:r w:rsidR="00A91CC6">
        <w:rPr>
          <w:sz w:val="24"/>
          <w:szCs w:val="24"/>
        </w:rPr>
        <w:t xml:space="preserve">making activities.  </w:t>
      </w:r>
      <w:r w:rsidR="00D6709B" w:rsidRPr="00D6709B">
        <w:rPr>
          <w:i/>
          <w:iCs/>
          <w:sz w:val="24"/>
          <w:szCs w:val="24"/>
        </w:rPr>
        <w:t>See</w:t>
      </w:r>
      <w:r w:rsidR="00D6709B">
        <w:rPr>
          <w:sz w:val="24"/>
          <w:szCs w:val="24"/>
        </w:rPr>
        <w:t xml:space="preserve"> Exchange Act Sections 3(a)(39), 15(b)(4)(E).  </w:t>
      </w:r>
      <w:r w:rsidR="00A91CC6">
        <w:rPr>
          <w:sz w:val="24"/>
          <w:szCs w:val="24"/>
        </w:rPr>
        <w:t>For this misconduct, the SEC ordered that Quigley cease and desist from engaging in violative conduct</w:t>
      </w:r>
      <w:r w:rsidR="0027513D">
        <w:rPr>
          <w:sz w:val="24"/>
          <w:szCs w:val="24"/>
        </w:rPr>
        <w:t xml:space="preserve"> </w:t>
      </w:r>
      <w:r w:rsidR="0072724D">
        <w:rPr>
          <w:sz w:val="24"/>
          <w:szCs w:val="24"/>
        </w:rPr>
        <w:t>and</w:t>
      </w:r>
      <w:r w:rsidR="00A91CC6">
        <w:rPr>
          <w:sz w:val="24"/>
          <w:szCs w:val="24"/>
        </w:rPr>
        <w:t xml:space="preserve"> pay a $25,000 civil penalty, and suspended Quigley for seven weeks.  Although Quigley is statutorily disqualified</w:t>
      </w:r>
      <w:r w:rsidR="007D7879">
        <w:rPr>
          <w:sz w:val="24"/>
          <w:szCs w:val="24"/>
        </w:rPr>
        <w:t xml:space="preserve">, an application for Quigley to associate with the Firm was not necessary because the sanctions imposed by the SEC were no longer in effect.  </w:t>
      </w:r>
      <w:r w:rsidR="007D7879" w:rsidRPr="007D7879">
        <w:rPr>
          <w:i/>
          <w:iCs/>
          <w:sz w:val="24"/>
          <w:szCs w:val="24"/>
        </w:rPr>
        <w:t>See</w:t>
      </w:r>
      <w:r w:rsidR="007D7879">
        <w:rPr>
          <w:sz w:val="24"/>
          <w:szCs w:val="24"/>
        </w:rPr>
        <w:t xml:space="preserve"> FINRA Rule 9522(a)(1); </w:t>
      </w:r>
      <w:r w:rsidR="007D7879" w:rsidRPr="007D7879">
        <w:rPr>
          <w:i/>
          <w:iCs/>
          <w:sz w:val="24"/>
          <w:szCs w:val="24"/>
        </w:rPr>
        <w:t>FINRA Regulatory Notice 09-19</w:t>
      </w:r>
      <w:r w:rsidR="007D7879">
        <w:rPr>
          <w:sz w:val="24"/>
          <w:szCs w:val="24"/>
        </w:rPr>
        <w:t xml:space="preserve">, </w:t>
      </w:r>
      <w:r w:rsidR="007D7879" w:rsidRPr="007D7879">
        <w:rPr>
          <w:sz w:val="24"/>
          <w:szCs w:val="24"/>
        </w:rPr>
        <w:t>2009 FINRA LEXIS 52 (Apr. 2009</w:t>
      </w:r>
      <w:r w:rsidR="007D7879">
        <w:rPr>
          <w:sz w:val="24"/>
          <w:szCs w:val="24"/>
        </w:rPr>
        <w:t>).</w:t>
      </w:r>
      <w:r w:rsidR="00A91CC6">
        <w:rPr>
          <w:sz w:val="24"/>
          <w:szCs w:val="24"/>
        </w:rPr>
        <w:t xml:space="preserve"> </w:t>
      </w:r>
    </w:p>
  </w:footnote>
  <w:footnote w:id="4">
    <w:p w14:paraId="36F46A28" w14:textId="27A7E739" w:rsidR="000A7985" w:rsidRPr="006D242D" w:rsidRDefault="000A7985" w:rsidP="000A7985">
      <w:pPr>
        <w:pStyle w:val="FootnoteText"/>
        <w:spacing w:after="240"/>
        <w:rPr>
          <w:sz w:val="24"/>
          <w:szCs w:val="24"/>
        </w:rPr>
      </w:pPr>
      <w:r w:rsidRPr="006D242D">
        <w:rPr>
          <w:rStyle w:val="FootnoteReference"/>
          <w:sz w:val="24"/>
          <w:szCs w:val="24"/>
        </w:rPr>
        <w:footnoteRef/>
      </w:r>
      <w:r w:rsidRPr="006D242D">
        <w:rPr>
          <w:sz w:val="24"/>
          <w:szCs w:val="24"/>
        </w:rPr>
        <w:t xml:space="preserve"> </w:t>
      </w:r>
      <w:r w:rsidRPr="006D242D">
        <w:rPr>
          <w:sz w:val="24"/>
          <w:szCs w:val="24"/>
        </w:rPr>
        <w:tab/>
        <w:t xml:space="preserve">We further note that, in connection with the </w:t>
      </w:r>
      <w:r>
        <w:rPr>
          <w:sz w:val="24"/>
          <w:szCs w:val="24"/>
        </w:rPr>
        <w:t xml:space="preserve">Final </w:t>
      </w:r>
      <w:r w:rsidRPr="006D242D">
        <w:rPr>
          <w:sz w:val="24"/>
          <w:szCs w:val="24"/>
        </w:rPr>
        <w:t>Judgment, the SEC found good cause to grant the Firm a waiver from the disqualification provision of Rule 506(d)(</w:t>
      </w:r>
      <w:r>
        <w:rPr>
          <w:sz w:val="24"/>
          <w:szCs w:val="24"/>
        </w:rPr>
        <w:t>2</w:t>
      </w:r>
      <w:r w:rsidRPr="006D242D">
        <w:rPr>
          <w:sz w:val="24"/>
          <w:szCs w:val="24"/>
        </w:rPr>
        <w:t>)(ii)</w:t>
      </w:r>
      <w:r w:rsidRPr="000A7985">
        <w:rPr>
          <w:sz w:val="24"/>
          <w:szCs w:val="24"/>
        </w:rPr>
        <w:t xml:space="preserve"> </w:t>
      </w:r>
      <w:r>
        <w:rPr>
          <w:sz w:val="24"/>
          <w:szCs w:val="24"/>
        </w:rPr>
        <w:t xml:space="preserve">of Regulation D under the </w:t>
      </w:r>
      <w:r w:rsidRPr="006D242D">
        <w:rPr>
          <w:sz w:val="24"/>
          <w:szCs w:val="24"/>
        </w:rPr>
        <w:t>Securities Act</w:t>
      </w:r>
      <w:r>
        <w:rPr>
          <w:sz w:val="24"/>
          <w:szCs w:val="24"/>
        </w:rPr>
        <w:t xml:space="preserve"> of 1933</w:t>
      </w:r>
      <w:r w:rsidRPr="006D242D">
        <w:rPr>
          <w:sz w:val="24"/>
          <w:szCs w:val="24"/>
        </w:rPr>
        <w:t xml:space="preserve">.  </w:t>
      </w:r>
    </w:p>
  </w:footnote>
  <w:footnote w:id="5">
    <w:p w14:paraId="7E24ABDA" w14:textId="5D24E56D" w:rsidR="00B25371" w:rsidRPr="00F87111" w:rsidRDefault="00B25371" w:rsidP="005E7CBD">
      <w:pPr>
        <w:pStyle w:val="FootnoteText"/>
        <w:spacing w:after="240"/>
        <w:rPr>
          <w:sz w:val="24"/>
          <w:szCs w:val="24"/>
        </w:rPr>
      </w:pPr>
      <w:r w:rsidRPr="00F87111">
        <w:rPr>
          <w:rStyle w:val="FootnoteReference"/>
          <w:sz w:val="24"/>
          <w:szCs w:val="24"/>
        </w:rPr>
        <w:footnoteRef/>
      </w:r>
      <w:r w:rsidRPr="00F87111">
        <w:rPr>
          <w:sz w:val="24"/>
          <w:szCs w:val="24"/>
        </w:rPr>
        <w:t xml:space="preserve">          </w:t>
      </w:r>
      <w:r w:rsidR="00DC3578" w:rsidRPr="00F87111">
        <w:rPr>
          <w:sz w:val="24"/>
          <w:szCs w:val="24"/>
        </w:rPr>
        <w:t xml:space="preserve">FINRA certifies that the Firm meets all qualification requirements and represents </w:t>
      </w:r>
      <w:r w:rsidR="00B07ECF" w:rsidRPr="00F87111">
        <w:rPr>
          <w:sz w:val="24"/>
          <w:szCs w:val="24"/>
        </w:rPr>
        <w:t xml:space="preserve">that it is </w:t>
      </w:r>
      <w:r w:rsidR="00FD68F5">
        <w:rPr>
          <w:sz w:val="24"/>
          <w:szCs w:val="24"/>
        </w:rPr>
        <w:t xml:space="preserve">a member of </w:t>
      </w:r>
      <w:r w:rsidR="008273A8" w:rsidRPr="00E1256C">
        <w:rPr>
          <w:color w:val="000000"/>
          <w:sz w:val="24"/>
          <w:szCs w:val="24"/>
          <w:shd w:val="clear" w:color="auto" w:fill="FFFFFF"/>
        </w:rPr>
        <w:t>NYSE-ARCA</w:t>
      </w:r>
      <w:r w:rsidR="008273A8">
        <w:rPr>
          <w:color w:val="000000"/>
          <w:sz w:val="24"/>
          <w:szCs w:val="24"/>
          <w:shd w:val="clear" w:color="auto" w:fill="FFFFFF"/>
        </w:rPr>
        <w:t xml:space="preserve">, as well as </w:t>
      </w:r>
      <w:r w:rsidR="00FD68F5" w:rsidRPr="00E1256C">
        <w:rPr>
          <w:color w:val="000000"/>
          <w:sz w:val="24"/>
          <w:szCs w:val="24"/>
          <w:shd w:val="clear" w:color="auto" w:fill="FFFFFF"/>
        </w:rPr>
        <w:t xml:space="preserve">CBOE, CBOE BYX, CBOE BZX, CBOE EDGA, CBOE EDGX, </w:t>
      </w:r>
      <w:r w:rsidR="00FD68F5">
        <w:rPr>
          <w:color w:val="000000"/>
          <w:sz w:val="24"/>
          <w:szCs w:val="24"/>
          <w:shd w:val="clear" w:color="auto" w:fill="FFFFFF"/>
        </w:rPr>
        <w:t xml:space="preserve">Nasdaq </w:t>
      </w:r>
      <w:r w:rsidR="00FD68F5" w:rsidRPr="00E1256C">
        <w:rPr>
          <w:color w:val="000000"/>
          <w:sz w:val="24"/>
          <w:szCs w:val="24"/>
          <w:shd w:val="clear" w:color="auto" w:fill="FFFFFF"/>
        </w:rPr>
        <w:t>BX</w:t>
      </w:r>
      <w:r w:rsidR="00FD68F5">
        <w:rPr>
          <w:color w:val="000000"/>
          <w:sz w:val="24"/>
          <w:szCs w:val="24"/>
          <w:shd w:val="clear" w:color="auto" w:fill="FFFFFF"/>
        </w:rPr>
        <w:t xml:space="preserve"> Inc.</w:t>
      </w:r>
      <w:r w:rsidR="00FD68F5" w:rsidRPr="00E1256C">
        <w:rPr>
          <w:color w:val="000000"/>
          <w:sz w:val="24"/>
          <w:szCs w:val="24"/>
          <w:shd w:val="clear" w:color="auto" w:fill="FFFFFF"/>
        </w:rPr>
        <w:t xml:space="preserve">, </w:t>
      </w:r>
      <w:r w:rsidR="00FD68F5">
        <w:rPr>
          <w:color w:val="000000"/>
          <w:sz w:val="24"/>
          <w:szCs w:val="24"/>
          <w:shd w:val="clear" w:color="auto" w:fill="FFFFFF"/>
        </w:rPr>
        <w:t xml:space="preserve">Nasdaq Stock Market, </w:t>
      </w:r>
      <w:r w:rsidR="00FD68F5" w:rsidRPr="00E1256C">
        <w:rPr>
          <w:color w:val="000000"/>
          <w:sz w:val="24"/>
          <w:szCs w:val="24"/>
          <w:shd w:val="clear" w:color="auto" w:fill="FFFFFF"/>
        </w:rPr>
        <w:t>Nasdaq International Securities Exchange (ISE), I</w:t>
      </w:r>
      <w:r w:rsidR="00FD68F5">
        <w:rPr>
          <w:color w:val="000000"/>
          <w:sz w:val="24"/>
          <w:szCs w:val="24"/>
          <w:shd w:val="clear" w:color="auto" w:fill="FFFFFF"/>
        </w:rPr>
        <w:t xml:space="preserve">nvestor’s </w:t>
      </w:r>
      <w:r w:rsidR="00FD68F5" w:rsidRPr="00E1256C">
        <w:rPr>
          <w:color w:val="000000"/>
          <w:sz w:val="24"/>
          <w:szCs w:val="24"/>
          <w:shd w:val="clear" w:color="auto" w:fill="FFFFFF"/>
        </w:rPr>
        <w:t>Exchange</w:t>
      </w:r>
      <w:r w:rsidR="00FD68F5">
        <w:rPr>
          <w:color w:val="000000"/>
          <w:sz w:val="24"/>
          <w:szCs w:val="24"/>
          <w:shd w:val="clear" w:color="auto" w:fill="FFFFFF"/>
        </w:rPr>
        <w:t xml:space="preserve"> (IEX)</w:t>
      </w:r>
      <w:r w:rsidR="00FD68F5" w:rsidRPr="00E1256C">
        <w:rPr>
          <w:color w:val="000000"/>
          <w:sz w:val="24"/>
          <w:szCs w:val="24"/>
          <w:shd w:val="clear" w:color="auto" w:fill="FFFFFF"/>
        </w:rPr>
        <w:t xml:space="preserve">, </w:t>
      </w:r>
      <w:r w:rsidR="008273A8">
        <w:rPr>
          <w:color w:val="000000"/>
          <w:sz w:val="24"/>
          <w:szCs w:val="24"/>
          <w:shd w:val="clear" w:color="auto" w:fill="FFFFFF"/>
        </w:rPr>
        <w:t xml:space="preserve">and </w:t>
      </w:r>
      <w:r w:rsidR="00FD68F5" w:rsidRPr="00E1256C">
        <w:rPr>
          <w:color w:val="000000"/>
          <w:sz w:val="24"/>
          <w:szCs w:val="24"/>
          <w:shd w:val="clear" w:color="auto" w:fill="FFFFFF"/>
        </w:rPr>
        <w:t>Member Exchange</w:t>
      </w:r>
      <w:r w:rsidR="00FD68F5">
        <w:rPr>
          <w:color w:val="000000"/>
          <w:sz w:val="24"/>
          <w:szCs w:val="24"/>
          <w:shd w:val="clear" w:color="auto" w:fill="FFFFFF"/>
        </w:rPr>
        <w:t xml:space="preserve"> LLC</w:t>
      </w:r>
      <w:r w:rsidR="00FD68F5" w:rsidRPr="00E1256C">
        <w:rPr>
          <w:color w:val="000000"/>
          <w:sz w:val="24"/>
          <w:szCs w:val="24"/>
          <w:shd w:val="clear" w:color="auto" w:fill="FFFFFF"/>
        </w:rPr>
        <w:t xml:space="preserve"> (MEMX)</w:t>
      </w:r>
      <w:r w:rsidR="008273A8">
        <w:rPr>
          <w:color w:val="000000"/>
          <w:sz w:val="24"/>
          <w:szCs w:val="24"/>
          <w:shd w:val="clear" w:color="auto" w:fill="FFFFFF"/>
        </w:rPr>
        <w:t>,</w:t>
      </w:r>
      <w:r w:rsidR="00FD68F5" w:rsidRPr="00E1256C">
        <w:rPr>
          <w:color w:val="000000"/>
          <w:sz w:val="24"/>
          <w:szCs w:val="24"/>
          <w:shd w:val="clear" w:color="auto" w:fill="FFFFFF"/>
        </w:rPr>
        <w:t xml:space="preserve"> </w:t>
      </w:r>
      <w:r w:rsidR="008273A8">
        <w:rPr>
          <w:color w:val="000000"/>
          <w:sz w:val="24"/>
          <w:szCs w:val="24"/>
          <w:shd w:val="clear" w:color="auto" w:fill="FFFFFF"/>
        </w:rPr>
        <w:t xml:space="preserve">which </w:t>
      </w:r>
      <w:r w:rsidR="008273A8" w:rsidRPr="009278BB">
        <w:rPr>
          <w:sz w:val="24"/>
          <w:szCs w:val="24"/>
        </w:rPr>
        <w:t xml:space="preserve">concur with the Firm’s </w:t>
      </w:r>
      <w:r w:rsidR="008273A8">
        <w:rPr>
          <w:sz w:val="24"/>
          <w:szCs w:val="24"/>
        </w:rPr>
        <w:t>proposed continued membership</w:t>
      </w:r>
      <w:r w:rsidR="008273A8" w:rsidRPr="00BF4B5F">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F2A3" w14:textId="77777777" w:rsidR="000B234F" w:rsidRDefault="000B234F" w:rsidP="000B234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08E3" w14:textId="77777777" w:rsidR="000B234F" w:rsidRDefault="000B234F" w:rsidP="000B23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7AB"/>
    <w:multiLevelType w:val="hybridMultilevel"/>
    <w:tmpl w:val="D4A66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92D0E"/>
    <w:multiLevelType w:val="hybridMultilevel"/>
    <w:tmpl w:val="9E4E94E2"/>
    <w:lvl w:ilvl="0" w:tplc="4F889A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A0A243D"/>
    <w:multiLevelType w:val="hybridMultilevel"/>
    <w:tmpl w:val="4D88EDB4"/>
    <w:lvl w:ilvl="0" w:tplc="D1564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4389C"/>
    <w:multiLevelType w:val="hybridMultilevel"/>
    <w:tmpl w:val="0D585F3A"/>
    <w:lvl w:ilvl="0" w:tplc="93165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5AD5E8D"/>
    <w:multiLevelType w:val="hybridMultilevel"/>
    <w:tmpl w:val="FE62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33E45"/>
    <w:multiLevelType w:val="hybridMultilevel"/>
    <w:tmpl w:val="D926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23F2F"/>
    <w:multiLevelType w:val="hybridMultilevel"/>
    <w:tmpl w:val="DC8EC87A"/>
    <w:lvl w:ilvl="0" w:tplc="78C21ADC">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1465538">
    <w:abstractNumId w:val="2"/>
  </w:num>
  <w:num w:numId="2" w16cid:durableId="514929691">
    <w:abstractNumId w:val="6"/>
  </w:num>
  <w:num w:numId="3" w16cid:durableId="1836217870">
    <w:abstractNumId w:val="0"/>
  </w:num>
  <w:num w:numId="4" w16cid:durableId="1022779934">
    <w:abstractNumId w:val="3"/>
  </w:num>
  <w:num w:numId="5" w16cid:durableId="371081094">
    <w:abstractNumId w:val="5"/>
  </w:num>
  <w:num w:numId="6" w16cid:durableId="799540920">
    <w:abstractNumId w:val="4"/>
  </w:num>
  <w:num w:numId="7" w16cid:durableId="508562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89"/>
    <w:rsid w:val="000010DF"/>
    <w:rsid w:val="0000123E"/>
    <w:rsid w:val="00001697"/>
    <w:rsid w:val="00002369"/>
    <w:rsid w:val="000024D1"/>
    <w:rsid w:val="00002CC2"/>
    <w:rsid w:val="00007C52"/>
    <w:rsid w:val="0001170A"/>
    <w:rsid w:val="00011E21"/>
    <w:rsid w:val="0001337B"/>
    <w:rsid w:val="00013CCD"/>
    <w:rsid w:val="0001458D"/>
    <w:rsid w:val="000161EC"/>
    <w:rsid w:val="00016965"/>
    <w:rsid w:val="000216CA"/>
    <w:rsid w:val="000233BD"/>
    <w:rsid w:val="000233FD"/>
    <w:rsid w:val="00024CD7"/>
    <w:rsid w:val="00025202"/>
    <w:rsid w:val="00025611"/>
    <w:rsid w:val="0002604F"/>
    <w:rsid w:val="000269B0"/>
    <w:rsid w:val="00026CE6"/>
    <w:rsid w:val="00027830"/>
    <w:rsid w:val="00027B97"/>
    <w:rsid w:val="000302A5"/>
    <w:rsid w:val="00030C70"/>
    <w:rsid w:val="00030F0B"/>
    <w:rsid w:val="000321C9"/>
    <w:rsid w:val="000326CB"/>
    <w:rsid w:val="00032CF7"/>
    <w:rsid w:val="00033275"/>
    <w:rsid w:val="00033670"/>
    <w:rsid w:val="0003398C"/>
    <w:rsid w:val="00034616"/>
    <w:rsid w:val="0003688F"/>
    <w:rsid w:val="00037307"/>
    <w:rsid w:val="00037512"/>
    <w:rsid w:val="00037B50"/>
    <w:rsid w:val="00040418"/>
    <w:rsid w:val="00040503"/>
    <w:rsid w:val="00040C35"/>
    <w:rsid w:val="000412BA"/>
    <w:rsid w:val="000418BF"/>
    <w:rsid w:val="00041BF0"/>
    <w:rsid w:val="00041E66"/>
    <w:rsid w:val="0004222B"/>
    <w:rsid w:val="00042D50"/>
    <w:rsid w:val="00043232"/>
    <w:rsid w:val="0004522F"/>
    <w:rsid w:val="000456AD"/>
    <w:rsid w:val="00045BC8"/>
    <w:rsid w:val="00045D2A"/>
    <w:rsid w:val="00047CD7"/>
    <w:rsid w:val="00050D64"/>
    <w:rsid w:val="000516D7"/>
    <w:rsid w:val="00052364"/>
    <w:rsid w:val="000524D0"/>
    <w:rsid w:val="00052717"/>
    <w:rsid w:val="00052ADE"/>
    <w:rsid w:val="000547ED"/>
    <w:rsid w:val="000564DE"/>
    <w:rsid w:val="00057168"/>
    <w:rsid w:val="00057A6B"/>
    <w:rsid w:val="000607B5"/>
    <w:rsid w:val="00061786"/>
    <w:rsid w:val="00061D4B"/>
    <w:rsid w:val="00062AE1"/>
    <w:rsid w:val="00062F9F"/>
    <w:rsid w:val="00063373"/>
    <w:rsid w:val="00063387"/>
    <w:rsid w:val="00064126"/>
    <w:rsid w:val="00064EA5"/>
    <w:rsid w:val="000659E4"/>
    <w:rsid w:val="00066F39"/>
    <w:rsid w:val="0006754B"/>
    <w:rsid w:val="00070096"/>
    <w:rsid w:val="000708FC"/>
    <w:rsid w:val="00071197"/>
    <w:rsid w:val="00072C1B"/>
    <w:rsid w:val="0007330D"/>
    <w:rsid w:val="00075AC7"/>
    <w:rsid w:val="00076BCD"/>
    <w:rsid w:val="00077C29"/>
    <w:rsid w:val="000809CA"/>
    <w:rsid w:val="00080D01"/>
    <w:rsid w:val="00081306"/>
    <w:rsid w:val="0008248A"/>
    <w:rsid w:val="00083980"/>
    <w:rsid w:val="0008750A"/>
    <w:rsid w:val="0009052D"/>
    <w:rsid w:val="00091386"/>
    <w:rsid w:val="0009301B"/>
    <w:rsid w:val="00093443"/>
    <w:rsid w:val="00095E71"/>
    <w:rsid w:val="00095EDD"/>
    <w:rsid w:val="00096A74"/>
    <w:rsid w:val="00097A5A"/>
    <w:rsid w:val="000A016F"/>
    <w:rsid w:val="000A0E93"/>
    <w:rsid w:val="000A164F"/>
    <w:rsid w:val="000A1D23"/>
    <w:rsid w:val="000A1D30"/>
    <w:rsid w:val="000A223D"/>
    <w:rsid w:val="000A289B"/>
    <w:rsid w:val="000A2E4A"/>
    <w:rsid w:val="000A3166"/>
    <w:rsid w:val="000A3A86"/>
    <w:rsid w:val="000A5C34"/>
    <w:rsid w:val="000A6882"/>
    <w:rsid w:val="000A6886"/>
    <w:rsid w:val="000A6A39"/>
    <w:rsid w:val="000A6F92"/>
    <w:rsid w:val="000A7985"/>
    <w:rsid w:val="000A7CFE"/>
    <w:rsid w:val="000A7E99"/>
    <w:rsid w:val="000B063B"/>
    <w:rsid w:val="000B0DD3"/>
    <w:rsid w:val="000B1E80"/>
    <w:rsid w:val="000B234F"/>
    <w:rsid w:val="000B2E8F"/>
    <w:rsid w:val="000B5F68"/>
    <w:rsid w:val="000B6CE3"/>
    <w:rsid w:val="000B7C6F"/>
    <w:rsid w:val="000B7E57"/>
    <w:rsid w:val="000C047D"/>
    <w:rsid w:val="000C23DB"/>
    <w:rsid w:val="000C28C4"/>
    <w:rsid w:val="000C309B"/>
    <w:rsid w:val="000C35D8"/>
    <w:rsid w:val="000C4972"/>
    <w:rsid w:val="000C4CAD"/>
    <w:rsid w:val="000C53E6"/>
    <w:rsid w:val="000C606D"/>
    <w:rsid w:val="000C639C"/>
    <w:rsid w:val="000C6805"/>
    <w:rsid w:val="000D0CA1"/>
    <w:rsid w:val="000D1CA0"/>
    <w:rsid w:val="000D1CF5"/>
    <w:rsid w:val="000D38A4"/>
    <w:rsid w:val="000D3D60"/>
    <w:rsid w:val="000D4A82"/>
    <w:rsid w:val="000D5A66"/>
    <w:rsid w:val="000D5AEA"/>
    <w:rsid w:val="000D6B1D"/>
    <w:rsid w:val="000E05A8"/>
    <w:rsid w:val="000E09C6"/>
    <w:rsid w:val="000E2397"/>
    <w:rsid w:val="000E26D3"/>
    <w:rsid w:val="000E3C39"/>
    <w:rsid w:val="000E3E9B"/>
    <w:rsid w:val="000E485F"/>
    <w:rsid w:val="000F03B3"/>
    <w:rsid w:val="000F050D"/>
    <w:rsid w:val="000F0B7B"/>
    <w:rsid w:val="000F192A"/>
    <w:rsid w:val="000F1D53"/>
    <w:rsid w:val="000F32C2"/>
    <w:rsid w:val="000F35A7"/>
    <w:rsid w:val="000F3C7A"/>
    <w:rsid w:val="000F417A"/>
    <w:rsid w:val="000F4A2D"/>
    <w:rsid w:val="000F4F30"/>
    <w:rsid w:val="000F569A"/>
    <w:rsid w:val="000F62FC"/>
    <w:rsid w:val="000F679C"/>
    <w:rsid w:val="001000F1"/>
    <w:rsid w:val="00100A2C"/>
    <w:rsid w:val="00101724"/>
    <w:rsid w:val="00101C54"/>
    <w:rsid w:val="001025EB"/>
    <w:rsid w:val="001025EF"/>
    <w:rsid w:val="00105386"/>
    <w:rsid w:val="00106180"/>
    <w:rsid w:val="00106C21"/>
    <w:rsid w:val="00106CC3"/>
    <w:rsid w:val="001075E1"/>
    <w:rsid w:val="00107F24"/>
    <w:rsid w:val="001128A3"/>
    <w:rsid w:val="0011440C"/>
    <w:rsid w:val="00116983"/>
    <w:rsid w:val="00117422"/>
    <w:rsid w:val="001174D4"/>
    <w:rsid w:val="0012141C"/>
    <w:rsid w:val="001214B9"/>
    <w:rsid w:val="00121862"/>
    <w:rsid w:val="00121D4D"/>
    <w:rsid w:val="001225BF"/>
    <w:rsid w:val="00122D12"/>
    <w:rsid w:val="00124CB2"/>
    <w:rsid w:val="001256E9"/>
    <w:rsid w:val="00126446"/>
    <w:rsid w:val="001278B7"/>
    <w:rsid w:val="00127C2B"/>
    <w:rsid w:val="001302F8"/>
    <w:rsid w:val="001326F3"/>
    <w:rsid w:val="001329B9"/>
    <w:rsid w:val="00133B95"/>
    <w:rsid w:val="0013545A"/>
    <w:rsid w:val="00135CFC"/>
    <w:rsid w:val="001364D9"/>
    <w:rsid w:val="001377E8"/>
    <w:rsid w:val="0013783A"/>
    <w:rsid w:val="001400B1"/>
    <w:rsid w:val="00140809"/>
    <w:rsid w:val="0014162D"/>
    <w:rsid w:val="00141727"/>
    <w:rsid w:val="00142272"/>
    <w:rsid w:val="00142BB8"/>
    <w:rsid w:val="0014347E"/>
    <w:rsid w:val="00144A0D"/>
    <w:rsid w:val="00144BB7"/>
    <w:rsid w:val="001455AD"/>
    <w:rsid w:val="00145B95"/>
    <w:rsid w:val="00146490"/>
    <w:rsid w:val="00146B2C"/>
    <w:rsid w:val="00146C1A"/>
    <w:rsid w:val="00147D5A"/>
    <w:rsid w:val="001503FC"/>
    <w:rsid w:val="00150549"/>
    <w:rsid w:val="00151270"/>
    <w:rsid w:val="0015134B"/>
    <w:rsid w:val="00151839"/>
    <w:rsid w:val="00151C56"/>
    <w:rsid w:val="00152431"/>
    <w:rsid w:val="001533A4"/>
    <w:rsid w:val="00154040"/>
    <w:rsid w:val="001544B4"/>
    <w:rsid w:val="00154732"/>
    <w:rsid w:val="00154DCE"/>
    <w:rsid w:val="001568E5"/>
    <w:rsid w:val="0016029B"/>
    <w:rsid w:val="00162276"/>
    <w:rsid w:val="001637AE"/>
    <w:rsid w:val="001637EB"/>
    <w:rsid w:val="0016392B"/>
    <w:rsid w:val="00163AF4"/>
    <w:rsid w:val="00165B05"/>
    <w:rsid w:val="00165D34"/>
    <w:rsid w:val="00166310"/>
    <w:rsid w:val="001666FA"/>
    <w:rsid w:val="00167062"/>
    <w:rsid w:val="00170904"/>
    <w:rsid w:val="0017288D"/>
    <w:rsid w:val="00172EC0"/>
    <w:rsid w:val="00173E41"/>
    <w:rsid w:val="00173FFE"/>
    <w:rsid w:val="00174092"/>
    <w:rsid w:val="0017478E"/>
    <w:rsid w:val="00174B70"/>
    <w:rsid w:val="00175C32"/>
    <w:rsid w:val="001760EA"/>
    <w:rsid w:val="00177677"/>
    <w:rsid w:val="00180906"/>
    <w:rsid w:val="00180AA7"/>
    <w:rsid w:val="00181055"/>
    <w:rsid w:val="001820AD"/>
    <w:rsid w:val="001827EB"/>
    <w:rsid w:val="001831F8"/>
    <w:rsid w:val="0018425E"/>
    <w:rsid w:val="00184FE3"/>
    <w:rsid w:val="001852FD"/>
    <w:rsid w:val="0018684A"/>
    <w:rsid w:val="00187010"/>
    <w:rsid w:val="00187786"/>
    <w:rsid w:val="001902EE"/>
    <w:rsid w:val="001907E7"/>
    <w:rsid w:val="00190F8E"/>
    <w:rsid w:val="00191544"/>
    <w:rsid w:val="00191E0F"/>
    <w:rsid w:val="00192158"/>
    <w:rsid w:val="0019262F"/>
    <w:rsid w:val="0019331E"/>
    <w:rsid w:val="00194A28"/>
    <w:rsid w:val="0019560A"/>
    <w:rsid w:val="00196531"/>
    <w:rsid w:val="001977C6"/>
    <w:rsid w:val="00197CD7"/>
    <w:rsid w:val="001A0255"/>
    <w:rsid w:val="001A1C1D"/>
    <w:rsid w:val="001A260D"/>
    <w:rsid w:val="001A3C25"/>
    <w:rsid w:val="001A413C"/>
    <w:rsid w:val="001A467A"/>
    <w:rsid w:val="001A4A80"/>
    <w:rsid w:val="001A691F"/>
    <w:rsid w:val="001A7346"/>
    <w:rsid w:val="001A782C"/>
    <w:rsid w:val="001A7F96"/>
    <w:rsid w:val="001B020A"/>
    <w:rsid w:val="001B07EF"/>
    <w:rsid w:val="001B1624"/>
    <w:rsid w:val="001B20ED"/>
    <w:rsid w:val="001B2EA9"/>
    <w:rsid w:val="001B329C"/>
    <w:rsid w:val="001B3D48"/>
    <w:rsid w:val="001B4D5F"/>
    <w:rsid w:val="001B51CA"/>
    <w:rsid w:val="001B6F11"/>
    <w:rsid w:val="001B74A0"/>
    <w:rsid w:val="001B7D34"/>
    <w:rsid w:val="001C2B09"/>
    <w:rsid w:val="001C2D60"/>
    <w:rsid w:val="001C39C6"/>
    <w:rsid w:val="001C3E8E"/>
    <w:rsid w:val="001C3EB0"/>
    <w:rsid w:val="001C4B04"/>
    <w:rsid w:val="001C5601"/>
    <w:rsid w:val="001C7AFA"/>
    <w:rsid w:val="001D0345"/>
    <w:rsid w:val="001D0836"/>
    <w:rsid w:val="001D0DB4"/>
    <w:rsid w:val="001D1582"/>
    <w:rsid w:val="001D191F"/>
    <w:rsid w:val="001D1A54"/>
    <w:rsid w:val="001D3E01"/>
    <w:rsid w:val="001D4138"/>
    <w:rsid w:val="001D4273"/>
    <w:rsid w:val="001D4BF1"/>
    <w:rsid w:val="001D596D"/>
    <w:rsid w:val="001D5A08"/>
    <w:rsid w:val="001D5DF5"/>
    <w:rsid w:val="001D6719"/>
    <w:rsid w:val="001D6968"/>
    <w:rsid w:val="001D6DD5"/>
    <w:rsid w:val="001D6E93"/>
    <w:rsid w:val="001E06B8"/>
    <w:rsid w:val="001E06C1"/>
    <w:rsid w:val="001E31F4"/>
    <w:rsid w:val="001E3AD4"/>
    <w:rsid w:val="001E48A9"/>
    <w:rsid w:val="001E4E0C"/>
    <w:rsid w:val="001E52D2"/>
    <w:rsid w:val="001E68A4"/>
    <w:rsid w:val="001E7C0B"/>
    <w:rsid w:val="001F0326"/>
    <w:rsid w:val="001F04DD"/>
    <w:rsid w:val="001F0ABA"/>
    <w:rsid w:val="001F0ED0"/>
    <w:rsid w:val="001F1EBC"/>
    <w:rsid w:val="001F1EE3"/>
    <w:rsid w:val="001F214B"/>
    <w:rsid w:val="001F3ACE"/>
    <w:rsid w:val="001F44CD"/>
    <w:rsid w:val="001F5D18"/>
    <w:rsid w:val="001F5D88"/>
    <w:rsid w:val="001F622D"/>
    <w:rsid w:val="001F7C08"/>
    <w:rsid w:val="00200483"/>
    <w:rsid w:val="002024FE"/>
    <w:rsid w:val="00202F7C"/>
    <w:rsid w:val="00203F2F"/>
    <w:rsid w:val="002040EE"/>
    <w:rsid w:val="00204663"/>
    <w:rsid w:val="002047C3"/>
    <w:rsid w:val="00205381"/>
    <w:rsid w:val="00205780"/>
    <w:rsid w:val="0020636F"/>
    <w:rsid w:val="0020650D"/>
    <w:rsid w:val="00206E30"/>
    <w:rsid w:val="002072A0"/>
    <w:rsid w:val="00210736"/>
    <w:rsid w:val="00211F36"/>
    <w:rsid w:val="002121E4"/>
    <w:rsid w:val="00212A8F"/>
    <w:rsid w:val="00212FB5"/>
    <w:rsid w:val="002139D9"/>
    <w:rsid w:val="00213AA1"/>
    <w:rsid w:val="00213C96"/>
    <w:rsid w:val="002143B8"/>
    <w:rsid w:val="002147A4"/>
    <w:rsid w:val="00216F2D"/>
    <w:rsid w:val="00217179"/>
    <w:rsid w:val="00217D7D"/>
    <w:rsid w:val="00222CEA"/>
    <w:rsid w:val="00223AD8"/>
    <w:rsid w:val="0022416C"/>
    <w:rsid w:val="0022719B"/>
    <w:rsid w:val="0022747B"/>
    <w:rsid w:val="00227862"/>
    <w:rsid w:val="00227983"/>
    <w:rsid w:val="00227C75"/>
    <w:rsid w:val="00230BC6"/>
    <w:rsid w:val="00231DBB"/>
    <w:rsid w:val="002321D2"/>
    <w:rsid w:val="00233F99"/>
    <w:rsid w:val="002353A0"/>
    <w:rsid w:val="002353F0"/>
    <w:rsid w:val="00236722"/>
    <w:rsid w:val="002406FD"/>
    <w:rsid w:val="00241A1D"/>
    <w:rsid w:val="00242220"/>
    <w:rsid w:val="00243599"/>
    <w:rsid w:val="002437B7"/>
    <w:rsid w:val="00244DF9"/>
    <w:rsid w:val="00247417"/>
    <w:rsid w:val="00250C9F"/>
    <w:rsid w:val="002517CB"/>
    <w:rsid w:val="00251A85"/>
    <w:rsid w:val="0025269A"/>
    <w:rsid w:val="00253348"/>
    <w:rsid w:val="00254D91"/>
    <w:rsid w:val="00255E19"/>
    <w:rsid w:val="00256B91"/>
    <w:rsid w:val="00256FEB"/>
    <w:rsid w:val="0025729E"/>
    <w:rsid w:val="00257A1A"/>
    <w:rsid w:val="00260E07"/>
    <w:rsid w:val="00261347"/>
    <w:rsid w:val="002615E1"/>
    <w:rsid w:val="00261951"/>
    <w:rsid w:val="00262446"/>
    <w:rsid w:val="002628C9"/>
    <w:rsid w:val="002630C5"/>
    <w:rsid w:val="00264D58"/>
    <w:rsid w:val="002669F0"/>
    <w:rsid w:val="00266E59"/>
    <w:rsid w:val="00267838"/>
    <w:rsid w:val="0026783C"/>
    <w:rsid w:val="00270DA4"/>
    <w:rsid w:val="00270DAB"/>
    <w:rsid w:val="0027127B"/>
    <w:rsid w:val="002731AA"/>
    <w:rsid w:val="00273240"/>
    <w:rsid w:val="00273C47"/>
    <w:rsid w:val="00273D29"/>
    <w:rsid w:val="00274BE0"/>
    <w:rsid w:val="0027513D"/>
    <w:rsid w:val="00275899"/>
    <w:rsid w:val="002759D8"/>
    <w:rsid w:val="00275A6E"/>
    <w:rsid w:val="00276335"/>
    <w:rsid w:val="00276448"/>
    <w:rsid w:val="002767E9"/>
    <w:rsid w:val="00277773"/>
    <w:rsid w:val="0028088A"/>
    <w:rsid w:val="00281E3F"/>
    <w:rsid w:val="00283FD2"/>
    <w:rsid w:val="002849EA"/>
    <w:rsid w:val="00284E64"/>
    <w:rsid w:val="00285BDF"/>
    <w:rsid w:val="00285CA3"/>
    <w:rsid w:val="0028638A"/>
    <w:rsid w:val="002863FA"/>
    <w:rsid w:val="002873DB"/>
    <w:rsid w:val="0028764D"/>
    <w:rsid w:val="00287E91"/>
    <w:rsid w:val="00290CC0"/>
    <w:rsid w:val="00291C33"/>
    <w:rsid w:val="00292BFE"/>
    <w:rsid w:val="00293338"/>
    <w:rsid w:val="0029349C"/>
    <w:rsid w:val="00293B0F"/>
    <w:rsid w:val="00293D52"/>
    <w:rsid w:val="00293E30"/>
    <w:rsid w:val="002944C3"/>
    <w:rsid w:val="00294793"/>
    <w:rsid w:val="00294A3F"/>
    <w:rsid w:val="00294AA3"/>
    <w:rsid w:val="002950A6"/>
    <w:rsid w:val="00296053"/>
    <w:rsid w:val="002970AE"/>
    <w:rsid w:val="00297372"/>
    <w:rsid w:val="002A040E"/>
    <w:rsid w:val="002A15B6"/>
    <w:rsid w:val="002A1B55"/>
    <w:rsid w:val="002A1DE5"/>
    <w:rsid w:val="002A397B"/>
    <w:rsid w:val="002A6DD8"/>
    <w:rsid w:val="002A7030"/>
    <w:rsid w:val="002A73D6"/>
    <w:rsid w:val="002B06E0"/>
    <w:rsid w:val="002B5F31"/>
    <w:rsid w:val="002B657F"/>
    <w:rsid w:val="002B6E03"/>
    <w:rsid w:val="002B7535"/>
    <w:rsid w:val="002B7573"/>
    <w:rsid w:val="002B797A"/>
    <w:rsid w:val="002B7EA1"/>
    <w:rsid w:val="002B7FC0"/>
    <w:rsid w:val="002C2826"/>
    <w:rsid w:val="002C3E78"/>
    <w:rsid w:val="002C4441"/>
    <w:rsid w:val="002C4597"/>
    <w:rsid w:val="002C4C57"/>
    <w:rsid w:val="002C64A3"/>
    <w:rsid w:val="002C65C2"/>
    <w:rsid w:val="002C6D4C"/>
    <w:rsid w:val="002D25B6"/>
    <w:rsid w:val="002D347B"/>
    <w:rsid w:val="002D3F8C"/>
    <w:rsid w:val="002D41DB"/>
    <w:rsid w:val="002D665E"/>
    <w:rsid w:val="002D6943"/>
    <w:rsid w:val="002D7E20"/>
    <w:rsid w:val="002D7F0C"/>
    <w:rsid w:val="002E008D"/>
    <w:rsid w:val="002E085F"/>
    <w:rsid w:val="002E100A"/>
    <w:rsid w:val="002E130A"/>
    <w:rsid w:val="002E3038"/>
    <w:rsid w:val="002E385D"/>
    <w:rsid w:val="002E41F3"/>
    <w:rsid w:val="002E42B4"/>
    <w:rsid w:val="002E4375"/>
    <w:rsid w:val="002E56CF"/>
    <w:rsid w:val="002E6AE1"/>
    <w:rsid w:val="002E6BD1"/>
    <w:rsid w:val="002E75C5"/>
    <w:rsid w:val="002E7C10"/>
    <w:rsid w:val="002F0AD1"/>
    <w:rsid w:val="002F1ED6"/>
    <w:rsid w:val="002F300B"/>
    <w:rsid w:val="002F3842"/>
    <w:rsid w:val="002F3C59"/>
    <w:rsid w:val="002F42A5"/>
    <w:rsid w:val="002F475E"/>
    <w:rsid w:val="002F5213"/>
    <w:rsid w:val="002F5314"/>
    <w:rsid w:val="002F559F"/>
    <w:rsid w:val="002F63F8"/>
    <w:rsid w:val="002F6F15"/>
    <w:rsid w:val="002F7707"/>
    <w:rsid w:val="0030137B"/>
    <w:rsid w:val="003015F4"/>
    <w:rsid w:val="00301860"/>
    <w:rsid w:val="0030189B"/>
    <w:rsid w:val="003023E7"/>
    <w:rsid w:val="003025AF"/>
    <w:rsid w:val="00302A78"/>
    <w:rsid w:val="00302CBA"/>
    <w:rsid w:val="00303217"/>
    <w:rsid w:val="00303D05"/>
    <w:rsid w:val="00307224"/>
    <w:rsid w:val="003103C7"/>
    <w:rsid w:val="003111C0"/>
    <w:rsid w:val="00311C40"/>
    <w:rsid w:val="00311EB6"/>
    <w:rsid w:val="00311F46"/>
    <w:rsid w:val="00312DEA"/>
    <w:rsid w:val="00312E48"/>
    <w:rsid w:val="003139B4"/>
    <w:rsid w:val="00314453"/>
    <w:rsid w:val="003149AE"/>
    <w:rsid w:val="00315596"/>
    <w:rsid w:val="003169C3"/>
    <w:rsid w:val="00317653"/>
    <w:rsid w:val="00317656"/>
    <w:rsid w:val="00317EEF"/>
    <w:rsid w:val="003200BC"/>
    <w:rsid w:val="00320BC3"/>
    <w:rsid w:val="00321CC9"/>
    <w:rsid w:val="00322BBA"/>
    <w:rsid w:val="00322CD9"/>
    <w:rsid w:val="00323C32"/>
    <w:rsid w:val="00324B13"/>
    <w:rsid w:val="003256FC"/>
    <w:rsid w:val="0032641B"/>
    <w:rsid w:val="00326B00"/>
    <w:rsid w:val="00327407"/>
    <w:rsid w:val="00327ED7"/>
    <w:rsid w:val="00330875"/>
    <w:rsid w:val="00330AA7"/>
    <w:rsid w:val="0033245C"/>
    <w:rsid w:val="003333CE"/>
    <w:rsid w:val="00333774"/>
    <w:rsid w:val="00335830"/>
    <w:rsid w:val="0033588B"/>
    <w:rsid w:val="00335C68"/>
    <w:rsid w:val="00335EFB"/>
    <w:rsid w:val="00337DF2"/>
    <w:rsid w:val="00337F81"/>
    <w:rsid w:val="00340561"/>
    <w:rsid w:val="00340C99"/>
    <w:rsid w:val="003413ED"/>
    <w:rsid w:val="00344605"/>
    <w:rsid w:val="0034602E"/>
    <w:rsid w:val="003465AB"/>
    <w:rsid w:val="003467D0"/>
    <w:rsid w:val="00347AEB"/>
    <w:rsid w:val="00347B43"/>
    <w:rsid w:val="00347E40"/>
    <w:rsid w:val="00350209"/>
    <w:rsid w:val="0035098C"/>
    <w:rsid w:val="00350A90"/>
    <w:rsid w:val="00350DD6"/>
    <w:rsid w:val="0035296D"/>
    <w:rsid w:val="00354217"/>
    <w:rsid w:val="00354445"/>
    <w:rsid w:val="0035611B"/>
    <w:rsid w:val="00356786"/>
    <w:rsid w:val="003579AF"/>
    <w:rsid w:val="00357D6B"/>
    <w:rsid w:val="0036155F"/>
    <w:rsid w:val="00361DC0"/>
    <w:rsid w:val="00363089"/>
    <w:rsid w:val="0036426F"/>
    <w:rsid w:val="003645CF"/>
    <w:rsid w:val="00364B78"/>
    <w:rsid w:val="0036562D"/>
    <w:rsid w:val="00366A3C"/>
    <w:rsid w:val="00367493"/>
    <w:rsid w:val="00367E2E"/>
    <w:rsid w:val="00370033"/>
    <w:rsid w:val="003702FA"/>
    <w:rsid w:val="00370A77"/>
    <w:rsid w:val="00371632"/>
    <w:rsid w:val="00372C8F"/>
    <w:rsid w:val="0037343B"/>
    <w:rsid w:val="003738E2"/>
    <w:rsid w:val="00373915"/>
    <w:rsid w:val="003752C2"/>
    <w:rsid w:val="003753CE"/>
    <w:rsid w:val="00375C52"/>
    <w:rsid w:val="00376055"/>
    <w:rsid w:val="003768C8"/>
    <w:rsid w:val="00376F61"/>
    <w:rsid w:val="003776C1"/>
    <w:rsid w:val="00380020"/>
    <w:rsid w:val="00380A78"/>
    <w:rsid w:val="00380D23"/>
    <w:rsid w:val="00380F42"/>
    <w:rsid w:val="00384BED"/>
    <w:rsid w:val="00384D58"/>
    <w:rsid w:val="00386899"/>
    <w:rsid w:val="00387DCE"/>
    <w:rsid w:val="00387FE7"/>
    <w:rsid w:val="00390663"/>
    <w:rsid w:val="0039105B"/>
    <w:rsid w:val="003914A3"/>
    <w:rsid w:val="00391574"/>
    <w:rsid w:val="00391BB4"/>
    <w:rsid w:val="00392F1F"/>
    <w:rsid w:val="00394888"/>
    <w:rsid w:val="00394B19"/>
    <w:rsid w:val="0039561A"/>
    <w:rsid w:val="00395E88"/>
    <w:rsid w:val="00395E9C"/>
    <w:rsid w:val="003960B0"/>
    <w:rsid w:val="003961CA"/>
    <w:rsid w:val="00396ACC"/>
    <w:rsid w:val="00396D10"/>
    <w:rsid w:val="003A0359"/>
    <w:rsid w:val="003A06DE"/>
    <w:rsid w:val="003A15C3"/>
    <w:rsid w:val="003A1FA2"/>
    <w:rsid w:val="003A24CE"/>
    <w:rsid w:val="003A28FD"/>
    <w:rsid w:val="003A4DBB"/>
    <w:rsid w:val="003A528B"/>
    <w:rsid w:val="003A67DD"/>
    <w:rsid w:val="003B061F"/>
    <w:rsid w:val="003B1729"/>
    <w:rsid w:val="003B2020"/>
    <w:rsid w:val="003B3E69"/>
    <w:rsid w:val="003B4112"/>
    <w:rsid w:val="003B63F8"/>
    <w:rsid w:val="003B7031"/>
    <w:rsid w:val="003B7A80"/>
    <w:rsid w:val="003C0D74"/>
    <w:rsid w:val="003C208C"/>
    <w:rsid w:val="003C20F9"/>
    <w:rsid w:val="003C3132"/>
    <w:rsid w:val="003C357C"/>
    <w:rsid w:val="003C41C0"/>
    <w:rsid w:val="003C42A6"/>
    <w:rsid w:val="003C530A"/>
    <w:rsid w:val="003C5435"/>
    <w:rsid w:val="003C6AE3"/>
    <w:rsid w:val="003C7AD3"/>
    <w:rsid w:val="003D0395"/>
    <w:rsid w:val="003D059E"/>
    <w:rsid w:val="003D0E4B"/>
    <w:rsid w:val="003D11B0"/>
    <w:rsid w:val="003D2004"/>
    <w:rsid w:val="003D2E3C"/>
    <w:rsid w:val="003D3C73"/>
    <w:rsid w:val="003D40A1"/>
    <w:rsid w:val="003D6C27"/>
    <w:rsid w:val="003D727C"/>
    <w:rsid w:val="003E045A"/>
    <w:rsid w:val="003E084D"/>
    <w:rsid w:val="003E1055"/>
    <w:rsid w:val="003E22D2"/>
    <w:rsid w:val="003E26BD"/>
    <w:rsid w:val="003E3D48"/>
    <w:rsid w:val="003E44EB"/>
    <w:rsid w:val="003E5046"/>
    <w:rsid w:val="003E518C"/>
    <w:rsid w:val="003E7371"/>
    <w:rsid w:val="003F083D"/>
    <w:rsid w:val="003F1853"/>
    <w:rsid w:val="003F285A"/>
    <w:rsid w:val="003F3181"/>
    <w:rsid w:val="003F4A43"/>
    <w:rsid w:val="003F5026"/>
    <w:rsid w:val="003F5B1C"/>
    <w:rsid w:val="003F5EE6"/>
    <w:rsid w:val="003F6C1B"/>
    <w:rsid w:val="003F7E6E"/>
    <w:rsid w:val="004019E8"/>
    <w:rsid w:val="00401DE5"/>
    <w:rsid w:val="00402308"/>
    <w:rsid w:val="004026C2"/>
    <w:rsid w:val="00403050"/>
    <w:rsid w:val="00403B8E"/>
    <w:rsid w:val="0040439A"/>
    <w:rsid w:val="00404FCA"/>
    <w:rsid w:val="004059AA"/>
    <w:rsid w:val="00406C4D"/>
    <w:rsid w:val="00406D3A"/>
    <w:rsid w:val="004076F6"/>
    <w:rsid w:val="00407C96"/>
    <w:rsid w:val="004110C3"/>
    <w:rsid w:val="0041112C"/>
    <w:rsid w:val="00413764"/>
    <w:rsid w:val="0041528D"/>
    <w:rsid w:val="00415311"/>
    <w:rsid w:val="004172F5"/>
    <w:rsid w:val="0041766E"/>
    <w:rsid w:val="0041792E"/>
    <w:rsid w:val="0041796F"/>
    <w:rsid w:val="004244CF"/>
    <w:rsid w:val="0042537F"/>
    <w:rsid w:val="00426092"/>
    <w:rsid w:val="00426DA7"/>
    <w:rsid w:val="00426E2A"/>
    <w:rsid w:val="00427F97"/>
    <w:rsid w:val="0043079A"/>
    <w:rsid w:val="00430E2A"/>
    <w:rsid w:val="00431EBD"/>
    <w:rsid w:val="00431F8C"/>
    <w:rsid w:val="00432003"/>
    <w:rsid w:val="004324AB"/>
    <w:rsid w:val="00432758"/>
    <w:rsid w:val="0043297E"/>
    <w:rsid w:val="0043379D"/>
    <w:rsid w:val="00434536"/>
    <w:rsid w:val="00436400"/>
    <w:rsid w:val="004366B9"/>
    <w:rsid w:val="0043702E"/>
    <w:rsid w:val="00437F08"/>
    <w:rsid w:val="00441A25"/>
    <w:rsid w:val="00441BE4"/>
    <w:rsid w:val="00441CC3"/>
    <w:rsid w:val="00442240"/>
    <w:rsid w:val="00443004"/>
    <w:rsid w:val="004435B3"/>
    <w:rsid w:val="00446101"/>
    <w:rsid w:val="0044622C"/>
    <w:rsid w:val="004468C8"/>
    <w:rsid w:val="00450691"/>
    <w:rsid w:val="00452B0C"/>
    <w:rsid w:val="004541BA"/>
    <w:rsid w:val="00454707"/>
    <w:rsid w:val="0045473D"/>
    <w:rsid w:val="004555DF"/>
    <w:rsid w:val="0045625B"/>
    <w:rsid w:val="00456DF9"/>
    <w:rsid w:val="00460562"/>
    <w:rsid w:val="00460C13"/>
    <w:rsid w:val="00461C1B"/>
    <w:rsid w:val="00462382"/>
    <w:rsid w:val="00463ACF"/>
    <w:rsid w:val="00463AE2"/>
    <w:rsid w:val="00464AA0"/>
    <w:rsid w:val="00464C7C"/>
    <w:rsid w:val="004657DF"/>
    <w:rsid w:val="00465E20"/>
    <w:rsid w:val="00465FFA"/>
    <w:rsid w:val="0046770D"/>
    <w:rsid w:val="004679EC"/>
    <w:rsid w:val="0047081D"/>
    <w:rsid w:val="00470EB1"/>
    <w:rsid w:val="00470FB0"/>
    <w:rsid w:val="00471295"/>
    <w:rsid w:val="00471776"/>
    <w:rsid w:val="00472012"/>
    <w:rsid w:val="00472BB0"/>
    <w:rsid w:val="0047334F"/>
    <w:rsid w:val="00474AED"/>
    <w:rsid w:val="004756BD"/>
    <w:rsid w:val="004761CA"/>
    <w:rsid w:val="0047622C"/>
    <w:rsid w:val="004775DB"/>
    <w:rsid w:val="004777BC"/>
    <w:rsid w:val="00481765"/>
    <w:rsid w:val="00482187"/>
    <w:rsid w:val="004829F0"/>
    <w:rsid w:val="00483701"/>
    <w:rsid w:val="004849EE"/>
    <w:rsid w:val="004857FA"/>
    <w:rsid w:val="00495333"/>
    <w:rsid w:val="00495579"/>
    <w:rsid w:val="00495625"/>
    <w:rsid w:val="0049566D"/>
    <w:rsid w:val="004958D4"/>
    <w:rsid w:val="0049627D"/>
    <w:rsid w:val="0049799C"/>
    <w:rsid w:val="004A10DA"/>
    <w:rsid w:val="004A1895"/>
    <w:rsid w:val="004A2678"/>
    <w:rsid w:val="004A2870"/>
    <w:rsid w:val="004A2F51"/>
    <w:rsid w:val="004A38F8"/>
    <w:rsid w:val="004A4034"/>
    <w:rsid w:val="004A5087"/>
    <w:rsid w:val="004A5D9B"/>
    <w:rsid w:val="004A6B1C"/>
    <w:rsid w:val="004A76B2"/>
    <w:rsid w:val="004B1884"/>
    <w:rsid w:val="004B22AB"/>
    <w:rsid w:val="004B22BB"/>
    <w:rsid w:val="004B23FC"/>
    <w:rsid w:val="004B2E81"/>
    <w:rsid w:val="004B3298"/>
    <w:rsid w:val="004B3D63"/>
    <w:rsid w:val="004B42F7"/>
    <w:rsid w:val="004B4B3D"/>
    <w:rsid w:val="004B4D9E"/>
    <w:rsid w:val="004B655F"/>
    <w:rsid w:val="004B6E2B"/>
    <w:rsid w:val="004B77BE"/>
    <w:rsid w:val="004C106B"/>
    <w:rsid w:val="004C383C"/>
    <w:rsid w:val="004C399A"/>
    <w:rsid w:val="004C3A72"/>
    <w:rsid w:val="004C3EAD"/>
    <w:rsid w:val="004C3F17"/>
    <w:rsid w:val="004C4921"/>
    <w:rsid w:val="004C4DDA"/>
    <w:rsid w:val="004C5599"/>
    <w:rsid w:val="004C63B3"/>
    <w:rsid w:val="004C6B00"/>
    <w:rsid w:val="004C7B9E"/>
    <w:rsid w:val="004C7BE5"/>
    <w:rsid w:val="004D0CD9"/>
    <w:rsid w:val="004D1A19"/>
    <w:rsid w:val="004D1CF1"/>
    <w:rsid w:val="004D2495"/>
    <w:rsid w:val="004D2D7B"/>
    <w:rsid w:val="004D3E97"/>
    <w:rsid w:val="004D4A31"/>
    <w:rsid w:val="004D58EF"/>
    <w:rsid w:val="004D609E"/>
    <w:rsid w:val="004D6524"/>
    <w:rsid w:val="004D6DD5"/>
    <w:rsid w:val="004D74B5"/>
    <w:rsid w:val="004D77FF"/>
    <w:rsid w:val="004D7D31"/>
    <w:rsid w:val="004E0657"/>
    <w:rsid w:val="004E1DE0"/>
    <w:rsid w:val="004E21DA"/>
    <w:rsid w:val="004E34E4"/>
    <w:rsid w:val="004E649D"/>
    <w:rsid w:val="004E6740"/>
    <w:rsid w:val="004E7E4B"/>
    <w:rsid w:val="004F1F86"/>
    <w:rsid w:val="004F3696"/>
    <w:rsid w:val="004F3CCD"/>
    <w:rsid w:val="004F629C"/>
    <w:rsid w:val="004F65F3"/>
    <w:rsid w:val="004F7124"/>
    <w:rsid w:val="004F7AB3"/>
    <w:rsid w:val="0050050F"/>
    <w:rsid w:val="00503515"/>
    <w:rsid w:val="00503A0B"/>
    <w:rsid w:val="005045BA"/>
    <w:rsid w:val="0050517E"/>
    <w:rsid w:val="00506412"/>
    <w:rsid w:val="00506B0B"/>
    <w:rsid w:val="00511E39"/>
    <w:rsid w:val="0051220E"/>
    <w:rsid w:val="005128E2"/>
    <w:rsid w:val="00512964"/>
    <w:rsid w:val="00512E93"/>
    <w:rsid w:val="005146D0"/>
    <w:rsid w:val="00514B4D"/>
    <w:rsid w:val="005150AE"/>
    <w:rsid w:val="00515E67"/>
    <w:rsid w:val="005161E0"/>
    <w:rsid w:val="0051699E"/>
    <w:rsid w:val="00516E77"/>
    <w:rsid w:val="00520C0E"/>
    <w:rsid w:val="00522454"/>
    <w:rsid w:val="00522FCC"/>
    <w:rsid w:val="00523AF5"/>
    <w:rsid w:val="005256AE"/>
    <w:rsid w:val="005260DD"/>
    <w:rsid w:val="00526A70"/>
    <w:rsid w:val="00526F81"/>
    <w:rsid w:val="0053000A"/>
    <w:rsid w:val="00530180"/>
    <w:rsid w:val="005325BB"/>
    <w:rsid w:val="00533275"/>
    <w:rsid w:val="00534D6A"/>
    <w:rsid w:val="00534DC6"/>
    <w:rsid w:val="00536338"/>
    <w:rsid w:val="0053653F"/>
    <w:rsid w:val="00536DB2"/>
    <w:rsid w:val="0053705D"/>
    <w:rsid w:val="00537500"/>
    <w:rsid w:val="0053764F"/>
    <w:rsid w:val="0053768E"/>
    <w:rsid w:val="00537C91"/>
    <w:rsid w:val="00542E82"/>
    <w:rsid w:val="00543F2C"/>
    <w:rsid w:val="00545FE4"/>
    <w:rsid w:val="0054608A"/>
    <w:rsid w:val="005477D2"/>
    <w:rsid w:val="00547951"/>
    <w:rsid w:val="0055003C"/>
    <w:rsid w:val="005500E1"/>
    <w:rsid w:val="00550226"/>
    <w:rsid w:val="00550F75"/>
    <w:rsid w:val="005527A1"/>
    <w:rsid w:val="00552BF2"/>
    <w:rsid w:val="00552D13"/>
    <w:rsid w:val="0055405A"/>
    <w:rsid w:val="005545CC"/>
    <w:rsid w:val="00554E82"/>
    <w:rsid w:val="0055560A"/>
    <w:rsid w:val="005559FB"/>
    <w:rsid w:val="00555D62"/>
    <w:rsid w:val="00555E67"/>
    <w:rsid w:val="00556104"/>
    <w:rsid w:val="005562E8"/>
    <w:rsid w:val="0056067E"/>
    <w:rsid w:val="00562784"/>
    <w:rsid w:val="00563B2E"/>
    <w:rsid w:val="00564608"/>
    <w:rsid w:val="00564C24"/>
    <w:rsid w:val="005652CD"/>
    <w:rsid w:val="00566B3D"/>
    <w:rsid w:val="00567490"/>
    <w:rsid w:val="005675F6"/>
    <w:rsid w:val="005716D4"/>
    <w:rsid w:val="00573E44"/>
    <w:rsid w:val="00573ED8"/>
    <w:rsid w:val="00575077"/>
    <w:rsid w:val="00575249"/>
    <w:rsid w:val="0057586E"/>
    <w:rsid w:val="00576CB9"/>
    <w:rsid w:val="005773B7"/>
    <w:rsid w:val="005778D9"/>
    <w:rsid w:val="00580EFA"/>
    <w:rsid w:val="00580F26"/>
    <w:rsid w:val="00581358"/>
    <w:rsid w:val="005815AC"/>
    <w:rsid w:val="00582FF2"/>
    <w:rsid w:val="00584595"/>
    <w:rsid w:val="005847DE"/>
    <w:rsid w:val="00584E99"/>
    <w:rsid w:val="0058505C"/>
    <w:rsid w:val="00585633"/>
    <w:rsid w:val="0058572B"/>
    <w:rsid w:val="005866B0"/>
    <w:rsid w:val="00586FD7"/>
    <w:rsid w:val="0058718A"/>
    <w:rsid w:val="00587263"/>
    <w:rsid w:val="00587B97"/>
    <w:rsid w:val="00590425"/>
    <w:rsid w:val="00590EAF"/>
    <w:rsid w:val="00591040"/>
    <w:rsid w:val="0059141D"/>
    <w:rsid w:val="00591753"/>
    <w:rsid w:val="00592002"/>
    <w:rsid w:val="00592C4D"/>
    <w:rsid w:val="00594039"/>
    <w:rsid w:val="005948BF"/>
    <w:rsid w:val="00595E9D"/>
    <w:rsid w:val="005971BD"/>
    <w:rsid w:val="005975F7"/>
    <w:rsid w:val="00597D02"/>
    <w:rsid w:val="005A005F"/>
    <w:rsid w:val="005A05B3"/>
    <w:rsid w:val="005A0B1A"/>
    <w:rsid w:val="005A12A2"/>
    <w:rsid w:val="005A3360"/>
    <w:rsid w:val="005A434C"/>
    <w:rsid w:val="005A45D1"/>
    <w:rsid w:val="005A50B5"/>
    <w:rsid w:val="005A5B9D"/>
    <w:rsid w:val="005A6298"/>
    <w:rsid w:val="005A62F3"/>
    <w:rsid w:val="005A647C"/>
    <w:rsid w:val="005A6FF7"/>
    <w:rsid w:val="005A786A"/>
    <w:rsid w:val="005A79AF"/>
    <w:rsid w:val="005B0319"/>
    <w:rsid w:val="005B072E"/>
    <w:rsid w:val="005B37E8"/>
    <w:rsid w:val="005B3DA6"/>
    <w:rsid w:val="005B457D"/>
    <w:rsid w:val="005B4C86"/>
    <w:rsid w:val="005B5078"/>
    <w:rsid w:val="005B50A7"/>
    <w:rsid w:val="005B62B4"/>
    <w:rsid w:val="005B7E68"/>
    <w:rsid w:val="005C028F"/>
    <w:rsid w:val="005C07CF"/>
    <w:rsid w:val="005C0E0D"/>
    <w:rsid w:val="005C13E0"/>
    <w:rsid w:val="005C25C9"/>
    <w:rsid w:val="005C5768"/>
    <w:rsid w:val="005C720F"/>
    <w:rsid w:val="005C769B"/>
    <w:rsid w:val="005C7812"/>
    <w:rsid w:val="005D08A9"/>
    <w:rsid w:val="005D0F02"/>
    <w:rsid w:val="005D1058"/>
    <w:rsid w:val="005D17B4"/>
    <w:rsid w:val="005D182C"/>
    <w:rsid w:val="005D1E1B"/>
    <w:rsid w:val="005D2096"/>
    <w:rsid w:val="005D30E7"/>
    <w:rsid w:val="005D34CB"/>
    <w:rsid w:val="005D3A41"/>
    <w:rsid w:val="005D4739"/>
    <w:rsid w:val="005D57D4"/>
    <w:rsid w:val="005D57F7"/>
    <w:rsid w:val="005D6598"/>
    <w:rsid w:val="005D7015"/>
    <w:rsid w:val="005D7096"/>
    <w:rsid w:val="005D7414"/>
    <w:rsid w:val="005D7AC5"/>
    <w:rsid w:val="005E1520"/>
    <w:rsid w:val="005E1B32"/>
    <w:rsid w:val="005E2172"/>
    <w:rsid w:val="005E3546"/>
    <w:rsid w:val="005E367A"/>
    <w:rsid w:val="005E4038"/>
    <w:rsid w:val="005E44B6"/>
    <w:rsid w:val="005E4AB6"/>
    <w:rsid w:val="005E4BA0"/>
    <w:rsid w:val="005E5A8E"/>
    <w:rsid w:val="005E62BF"/>
    <w:rsid w:val="005E7CBD"/>
    <w:rsid w:val="005F0772"/>
    <w:rsid w:val="005F0F1E"/>
    <w:rsid w:val="005F26CE"/>
    <w:rsid w:val="005F2901"/>
    <w:rsid w:val="005F2B3C"/>
    <w:rsid w:val="005F2B53"/>
    <w:rsid w:val="005F5097"/>
    <w:rsid w:val="005F5B96"/>
    <w:rsid w:val="005F5CBE"/>
    <w:rsid w:val="005F6898"/>
    <w:rsid w:val="005F737B"/>
    <w:rsid w:val="005F7EF4"/>
    <w:rsid w:val="00601391"/>
    <w:rsid w:val="006013F5"/>
    <w:rsid w:val="0060231E"/>
    <w:rsid w:val="00603881"/>
    <w:rsid w:val="00604266"/>
    <w:rsid w:val="00604DBD"/>
    <w:rsid w:val="00605EE1"/>
    <w:rsid w:val="0061046A"/>
    <w:rsid w:val="0061057B"/>
    <w:rsid w:val="00610A66"/>
    <w:rsid w:val="00610FE8"/>
    <w:rsid w:val="00611D76"/>
    <w:rsid w:val="00612181"/>
    <w:rsid w:val="00612F14"/>
    <w:rsid w:val="00613A0F"/>
    <w:rsid w:val="00613E2A"/>
    <w:rsid w:val="006147B2"/>
    <w:rsid w:val="00614E59"/>
    <w:rsid w:val="00614FB0"/>
    <w:rsid w:val="006151C2"/>
    <w:rsid w:val="006159A8"/>
    <w:rsid w:val="00615A7F"/>
    <w:rsid w:val="00616230"/>
    <w:rsid w:val="00617360"/>
    <w:rsid w:val="006201E5"/>
    <w:rsid w:val="006203BF"/>
    <w:rsid w:val="0062065A"/>
    <w:rsid w:val="00620EF5"/>
    <w:rsid w:val="00621CAE"/>
    <w:rsid w:val="00621DFF"/>
    <w:rsid w:val="00622659"/>
    <w:rsid w:val="00622820"/>
    <w:rsid w:val="00623173"/>
    <w:rsid w:val="006245C6"/>
    <w:rsid w:val="006261E5"/>
    <w:rsid w:val="00626344"/>
    <w:rsid w:val="0062695D"/>
    <w:rsid w:val="00626DBB"/>
    <w:rsid w:val="00630682"/>
    <w:rsid w:val="00630B4D"/>
    <w:rsid w:val="0063168A"/>
    <w:rsid w:val="00631AED"/>
    <w:rsid w:val="00632755"/>
    <w:rsid w:val="00632E7C"/>
    <w:rsid w:val="00633322"/>
    <w:rsid w:val="0063345E"/>
    <w:rsid w:val="00633751"/>
    <w:rsid w:val="006353AD"/>
    <w:rsid w:val="006365E3"/>
    <w:rsid w:val="00637914"/>
    <w:rsid w:val="006379F0"/>
    <w:rsid w:val="00637CAB"/>
    <w:rsid w:val="00640005"/>
    <w:rsid w:val="0064307C"/>
    <w:rsid w:val="0064320C"/>
    <w:rsid w:val="00644A52"/>
    <w:rsid w:val="006462A6"/>
    <w:rsid w:val="00646858"/>
    <w:rsid w:val="00646A71"/>
    <w:rsid w:val="006477C5"/>
    <w:rsid w:val="0065028A"/>
    <w:rsid w:val="006505EC"/>
    <w:rsid w:val="0065070C"/>
    <w:rsid w:val="006518C6"/>
    <w:rsid w:val="00651AFA"/>
    <w:rsid w:val="006521CA"/>
    <w:rsid w:val="00652C00"/>
    <w:rsid w:val="00654728"/>
    <w:rsid w:val="00655DB8"/>
    <w:rsid w:val="00656447"/>
    <w:rsid w:val="006578E9"/>
    <w:rsid w:val="0066035A"/>
    <w:rsid w:val="00660A9A"/>
    <w:rsid w:val="006618F6"/>
    <w:rsid w:val="00662263"/>
    <w:rsid w:val="00663523"/>
    <w:rsid w:val="00663FFE"/>
    <w:rsid w:val="006642EC"/>
    <w:rsid w:val="00664DED"/>
    <w:rsid w:val="00664F5A"/>
    <w:rsid w:val="00670727"/>
    <w:rsid w:val="00670E3C"/>
    <w:rsid w:val="00671648"/>
    <w:rsid w:val="00671E16"/>
    <w:rsid w:val="00671FB4"/>
    <w:rsid w:val="006722DC"/>
    <w:rsid w:val="00674D7F"/>
    <w:rsid w:val="006754D8"/>
    <w:rsid w:val="00676530"/>
    <w:rsid w:val="00676D45"/>
    <w:rsid w:val="00677668"/>
    <w:rsid w:val="00677711"/>
    <w:rsid w:val="0068034C"/>
    <w:rsid w:val="00680600"/>
    <w:rsid w:val="00682412"/>
    <w:rsid w:val="006829E0"/>
    <w:rsid w:val="00683195"/>
    <w:rsid w:val="006842AF"/>
    <w:rsid w:val="00684521"/>
    <w:rsid w:val="00685ADA"/>
    <w:rsid w:val="00685C99"/>
    <w:rsid w:val="00686378"/>
    <w:rsid w:val="00686787"/>
    <w:rsid w:val="006907E9"/>
    <w:rsid w:val="00690940"/>
    <w:rsid w:val="00691380"/>
    <w:rsid w:val="006919D7"/>
    <w:rsid w:val="00691D0D"/>
    <w:rsid w:val="00695B6C"/>
    <w:rsid w:val="00697F61"/>
    <w:rsid w:val="006A102B"/>
    <w:rsid w:val="006A3100"/>
    <w:rsid w:val="006A35C1"/>
    <w:rsid w:val="006A393D"/>
    <w:rsid w:val="006A3A07"/>
    <w:rsid w:val="006A3A47"/>
    <w:rsid w:val="006A3BA3"/>
    <w:rsid w:val="006A4C48"/>
    <w:rsid w:val="006A584D"/>
    <w:rsid w:val="006A5934"/>
    <w:rsid w:val="006A6A34"/>
    <w:rsid w:val="006A704D"/>
    <w:rsid w:val="006B0F6D"/>
    <w:rsid w:val="006B19CC"/>
    <w:rsid w:val="006B1E00"/>
    <w:rsid w:val="006B272F"/>
    <w:rsid w:val="006B29CD"/>
    <w:rsid w:val="006B39E3"/>
    <w:rsid w:val="006B551C"/>
    <w:rsid w:val="006B5CFF"/>
    <w:rsid w:val="006B6676"/>
    <w:rsid w:val="006B739F"/>
    <w:rsid w:val="006B7AB5"/>
    <w:rsid w:val="006C0605"/>
    <w:rsid w:val="006C12DF"/>
    <w:rsid w:val="006C12F3"/>
    <w:rsid w:val="006C22C7"/>
    <w:rsid w:val="006C3165"/>
    <w:rsid w:val="006C3591"/>
    <w:rsid w:val="006C3807"/>
    <w:rsid w:val="006C3A49"/>
    <w:rsid w:val="006C47AE"/>
    <w:rsid w:val="006C671B"/>
    <w:rsid w:val="006C6C0D"/>
    <w:rsid w:val="006C769B"/>
    <w:rsid w:val="006C7C94"/>
    <w:rsid w:val="006D03AB"/>
    <w:rsid w:val="006D0B6D"/>
    <w:rsid w:val="006D0FDD"/>
    <w:rsid w:val="006D1955"/>
    <w:rsid w:val="006D1AD2"/>
    <w:rsid w:val="006D341F"/>
    <w:rsid w:val="006D435C"/>
    <w:rsid w:val="006D513D"/>
    <w:rsid w:val="006D55FC"/>
    <w:rsid w:val="006D5EDF"/>
    <w:rsid w:val="006D6135"/>
    <w:rsid w:val="006D70CC"/>
    <w:rsid w:val="006D7388"/>
    <w:rsid w:val="006D73DC"/>
    <w:rsid w:val="006E082E"/>
    <w:rsid w:val="006E1781"/>
    <w:rsid w:val="006E17BA"/>
    <w:rsid w:val="006E1ED0"/>
    <w:rsid w:val="006E2910"/>
    <w:rsid w:val="006E6115"/>
    <w:rsid w:val="006E6825"/>
    <w:rsid w:val="006E69B8"/>
    <w:rsid w:val="006F2906"/>
    <w:rsid w:val="006F5BEE"/>
    <w:rsid w:val="006F5D3B"/>
    <w:rsid w:val="006F6BF7"/>
    <w:rsid w:val="00700692"/>
    <w:rsid w:val="0070093D"/>
    <w:rsid w:val="0070222C"/>
    <w:rsid w:val="007022C5"/>
    <w:rsid w:val="0070248E"/>
    <w:rsid w:val="007052F5"/>
    <w:rsid w:val="00705897"/>
    <w:rsid w:val="00706803"/>
    <w:rsid w:val="00706830"/>
    <w:rsid w:val="007106C5"/>
    <w:rsid w:val="00710719"/>
    <w:rsid w:val="00711DC2"/>
    <w:rsid w:val="007124BA"/>
    <w:rsid w:val="007127EF"/>
    <w:rsid w:val="0071299A"/>
    <w:rsid w:val="00713058"/>
    <w:rsid w:val="00715DCC"/>
    <w:rsid w:val="007161AD"/>
    <w:rsid w:val="007168F5"/>
    <w:rsid w:val="007175B4"/>
    <w:rsid w:val="00717E14"/>
    <w:rsid w:val="00720B82"/>
    <w:rsid w:val="00720D4E"/>
    <w:rsid w:val="00720F17"/>
    <w:rsid w:val="00721304"/>
    <w:rsid w:val="00721A57"/>
    <w:rsid w:val="00721FCC"/>
    <w:rsid w:val="0072226C"/>
    <w:rsid w:val="00722820"/>
    <w:rsid w:val="007240E4"/>
    <w:rsid w:val="007252F6"/>
    <w:rsid w:val="00726481"/>
    <w:rsid w:val="00726677"/>
    <w:rsid w:val="00726A8D"/>
    <w:rsid w:val="00726E3E"/>
    <w:rsid w:val="0072724D"/>
    <w:rsid w:val="00730E9B"/>
    <w:rsid w:val="0073152D"/>
    <w:rsid w:val="0073189E"/>
    <w:rsid w:val="00732528"/>
    <w:rsid w:val="007340C6"/>
    <w:rsid w:val="0073427C"/>
    <w:rsid w:val="0073622D"/>
    <w:rsid w:val="007369C8"/>
    <w:rsid w:val="007371FE"/>
    <w:rsid w:val="007403DC"/>
    <w:rsid w:val="007407D8"/>
    <w:rsid w:val="007416C5"/>
    <w:rsid w:val="00742F32"/>
    <w:rsid w:val="00742F62"/>
    <w:rsid w:val="0074435F"/>
    <w:rsid w:val="00745017"/>
    <w:rsid w:val="00745F4B"/>
    <w:rsid w:val="007503C0"/>
    <w:rsid w:val="00750872"/>
    <w:rsid w:val="00751561"/>
    <w:rsid w:val="00751668"/>
    <w:rsid w:val="00751AD3"/>
    <w:rsid w:val="00752218"/>
    <w:rsid w:val="00752653"/>
    <w:rsid w:val="00753D99"/>
    <w:rsid w:val="007543E6"/>
    <w:rsid w:val="00754B24"/>
    <w:rsid w:val="00755A2C"/>
    <w:rsid w:val="007565F4"/>
    <w:rsid w:val="00756797"/>
    <w:rsid w:val="007608A5"/>
    <w:rsid w:val="007613E4"/>
    <w:rsid w:val="00762752"/>
    <w:rsid w:val="00763D4C"/>
    <w:rsid w:val="007648B3"/>
    <w:rsid w:val="0076536C"/>
    <w:rsid w:val="00767BA9"/>
    <w:rsid w:val="007706EF"/>
    <w:rsid w:val="007711D5"/>
    <w:rsid w:val="0077232A"/>
    <w:rsid w:val="007725F6"/>
    <w:rsid w:val="007729CB"/>
    <w:rsid w:val="00773412"/>
    <w:rsid w:val="00774820"/>
    <w:rsid w:val="00774ED6"/>
    <w:rsid w:val="00775530"/>
    <w:rsid w:val="00776396"/>
    <w:rsid w:val="007769CF"/>
    <w:rsid w:val="00777075"/>
    <w:rsid w:val="00777608"/>
    <w:rsid w:val="007800CD"/>
    <w:rsid w:val="00780C79"/>
    <w:rsid w:val="00781E3F"/>
    <w:rsid w:val="00782602"/>
    <w:rsid w:val="00782EE6"/>
    <w:rsid w:val="00784293"/>
    <w:rsid w:val="00784BE9"/>
    <w:rsid w:val="00784E66"/>
    <w:rsid w:val="00785CF5"/>
    <w:rsid w:val="007861E7"/>
    <w:rsid w:val="00786BE6"/>
    <w:rsid w:val="0078760B"/>
    <w:rsid w:val="00791859"/>
    <w:rsid w:val="007924F8"/>
    <w:rsid w:val="00792D89"/>
    <w:rsid w:val="007939C1"/>
    <w:rsid w:val="00794E85"/>
    <w:rsid w:val="00796DA7"/>
    <w:rsid w:val="007973E7"/>
    <w:rsid w:val="0079751A"/>
    <w:rsid w:val="00797BDC"/>
    <w:rsid w:val="007A13E7"/>
    <w:rsid w:val="007A2BF9"/>
    <w:rsid w:val="007A2FA5"/>
    <w:rsid w:val="007A463D"/>
    <w:rsid w:val="007A47D2"/>
    <w:rsid w:val="007A4D1E"/>
    <w:rsid w:val="007A5929"/>
    <w:rsid w:val="007A6F32"/>
    <w:rsid w:val="007B0685"/>
    <w:rsid w:val="007B0808"/>
    <w:rsid w:val="007B18E6"/>
    <w:rsid w:val="007B1DEA"/>
    <w:rsid w:val="007B30B9"/>
    <w:rsid w:val="007B38F0"/>
    <w:rsid w:val="007B3E1C"/>
    <w:rsid w:val="007B4020"/>
    <w:rsid w:val="007B440B"/>
    <w:rsid w:val="007C260E"/>
    <w:rsid w:val="007C38BB"/>
    <w:rsid w:val="007C3C55"/>
    <w:rsid w:val="007C5D1F"/>
    <w:rsid w:val="007C6DAB"/>
    <w:rsid w:val="007C77FE"/>
    <w:rsid w:val="007D0AD4"/>
    <w:rsid w:val="007D0E76"/>
    <w:rsid w:val="007D1188"/>
    <w:rsid w:val="007D19D4"/>
    <w:rsid w:val="007D2193"/>
    <w:rsid w:val="007D364D"/>
    <w:rsid w:val="007D5755"/>
    <w:rsid w:val="007D5A2A"/>
    <w:rsid w:val="007D5B1B"/>
    <w:rsid w:val="007D5E3E"/>
    <w:rsid w:val="007D6544"/>
    <w:rsid w:val="007D6F30"/>
    <w:rsid w:val="007D77B3"/>
    <w:rsid w:val="007D7879"/>
    <w:rsid w:val="007D7EFC"/>
    <w:rsid w:val="007E06C8"/>
    <w:rsid w:val="007E2A98"/>
    <w:rsid w:val="007E3011"/>
    <w:rsid w:val="007E35D1"/>
    <w:rsid w:val="007E389E"/>
    <w:rsid w:val="007E44B8"/>
    <w:rsid w:val="007E4F8E"/>
    <w:rsid w:val="007E5288"/>
    <w:rsid w:val="007E5371"/>
    <w:rsid w:val="007E554A"/>
    <w:rsid w:val="007E5AE8"/>
    <w:rsid w:val="007E6034"/>
    <w:rsid w:val="007E64E0"/>
    <w:rsid w:val="007E6E82"/>
    <w:rsid w:val="007E7814"/>
    <w:rsid w:val="007E7E74"/>
    <w:rsid w:val="007F00F1"/>
    <w:rsid w:val="007F1EFB"/>
    <w:rsid w:val="007F5614"/>
    <w:rsid w:val="007F7CB7"/>
    <w:rsid w:val="0080049B"/>
    <w:rsid w:val="00803261"/>
    <w:rsid w:val="00803B48"/>
    <w:rsid w:val="00804955"/>
    <w:rsid w:val="008050AB"/>
    <w:rsid w:val="00805AD6"/>
    <w:rsid w:val="00807721"/>
    <w:rsid w:val="00807C69"/>
    <w:rsid w:val="00810885"/>
    <w:rsid w:val="00810B8D"/>
    <w:rsid w:val="00811F83"/>
    <w:rsid w:val="00813344"/>
    <w:rsid w:val="0081401C"/>
    <w:rsid w:val="008160CB"/>
    <w:rsid w:val="008163C7"/>
    <w:rsid w:val="00816669"/>
    <w:rsid w:val="008205B1"/>
    <w:rsid w:val="00820D95"/>
    <w:rsid w:val="008218CE"/>
    <w:rsid w:val="00822B2D"/>
    <w:rsid w:val="0082379F"/>
    <w:rsid w:val="00824169"/>
    <w:rsid w:val="00825016"/>
    <w:rsid w:val="00825381"/>
    <w:rsid w:val="00826122"/>
    <w:rsid w:val="00826221"/>
    <w:rsid w:val="00826C08"/>
    <w:rsid w:val="008273A8"/>
    <w:rsid w:val="0083031F"/>
    <w:rsid w:val="008308EF"/>
    <w:rsid w:val="00830944"/>
    <w:rsid w:val="0083160C"/>
    <w:rsid w:val="008323F8"/>
    <w:rsid w:val="008325DE"/>
    <w:rsid w:val="00833328"/>
    <w:rsid w:val="00833F83"/>
    <w:rsid w:val="0083437F"/>
    <w:rsid w:val="00837E7E"/>
    <w:rsid w:val="00837F6F"/>
    <w:rsid w:val="00837FF7"/>
    <w:rsid w:val="00841235"/>
    <w:rsid w:val="008417F1"/>
    <w:rsid w:val="00842973"/>
    <w:rsid w:val="0084354E"/>
    <w:rsid w:val="008437BA"/>
    <w:rsid w:val="00844CB0"/>
    <w:rsid w:val="008452E4"/>
    <w:rsid w:val="008456F8"/>
    <w:rsid w:val="008460EA"/>
    <w:rsid w:val="00847643"/>
    <w:rsid w:val="0085059B"/>
    <w:rsid w:val="008505AA"/>
    <w:rsid w:val="008508F4"/>
    <w:rsid w:val="00850994"/>
    <w:rsid w:val="00851227"/>
    <w:rsid w:val="0085333E"/>
    <w:rsid w:val="0085421B"/>
    <w:rsid w:val="008555E6"/>
    <w:rsid w:val="00857476"/>
    <w:rsid w:val="008577F0"/>
    <w:rsid w:val="00860405"/>
    <w:rsid w:val="0086056E"/>
    <w:rsid w:val="00861795"/>
    <w:rsid w:val="00862F8F"/>
    <w:rsid w:val="00863788"/>
    <w:rsid w:val="00864CCB"/>
    <w:rsid w:val="008654E0"/>
    <w:rsid w:val="00866350"/>
    <w:rsid w:val="00866967"/>
    <w:rsid w:val="00866EB5"/>
    <w:rsid w:val="008678D3"/>
    <w:rsid w:val="008708F3"/>
    <w:rsid w:val="0087158F"/>
    <w:rsid w:val="00872522"/>
    <w:rsid w:val="00872B76"/>
    <w:rsid w:val="0087323D"/>
    <w:rsid w:val="00873B02"/>
    <w:rsid w:val="00873D0A"/>
    <w:rsid w:val="008746D1"/>
    <w:rsid w:val="00874C1B"/>
    <w:rsid w:val="00876953"/>
    <w:rsid w:val="008770B4"/>
    <w:rsid w:val="008773A6"/>
    <w:rsid w:val="00880065"/>
    <w:rsid w:val="00880205"/>
    <w:rsid w:val="0088065A"/>
    <w:rsid w:val="0088197D"/>
    <w:rsid w:val="008820DE"/>
    <w:rsid w:val="00882628"/>
    <w:rsid w:val="00882B8B"/>
    <w:rsid w:val="00882D31"/>
    <w:rsid w:val="00885087"/>
    <w:rsid w:val="00885149"/>
    <w:rsid w:val="008865B8"/>
    <w:rsid w:val="00892469"/>
    <w:rsid w:val="008932DC"/>
    <w:rsid w:val="008936F4"/>
    <w:rsid w:val="00893C43"/>
    <w:rsid w:val="00897993"/>
    <w:rsid w:val="00897D50"/>
    <w:rsid w:val="008A0880"/>
    <w:rsid w:val="008A0D17"/>
    <w:rsid w:val="008A160A"/>
    <w:rsid w:val="008A4345"/>
    <w:rsid w:val="008A4D53"/>
    <w:rsid w:val="008A52BC"/>
    <w:rsid w:val="008A52DE"/>
    <w:rsid w:val="008A58D2"/>
    <w:rsid w:val="008A75CA"/>
    <w:rsid w:val="008B0CE7"/>
    <w:rsid w:val="008B27CB"/>
    <w:rsid w:val="008B2863"/>
    <w:rsid w:val="008B3712"/>
    <w:rsid w:val="008B3D26"/>
    <w:rsid w:val="008B4267"/>
    <w:rsid w:val="008B4AB1"/>
    <w:rsid w:val="008B541C"/>
    <w:rsid w:val="008B57EB"/>
    <w:rsid w:val="008B653D"/>
    <w:rsid w:val="008B68FC"/>
    <w:rsid w:val="008B76FE"/>
    <w:rsid w:val="008C01F9"/>
    <w:rsid w:val="008C0917"/>
    <w:rsid w:val="008C1EBF"/>
    <w:rsid w:val="008C25E8"/>
    <w:rsid w:val="008C3A83"/>
    <w:rsid w:val="008C599D"/>
    <w:rsid w:val="008C59F3"/>
    <w:rsid w:val="008C5A94"/>
    <w:rsid w:val="008C5C15"/>
    <w:rsid w:val="008C68BB"/>
    <w:rsid w:val="008C693B"/>
    <w:rsid w:val="008C7A69"/>
    <w:rsid w:val="008D1010"/>
    <w:rsid w:val="008D1060"/>
    <w:rsid w:val="008D23CA"/>
    <w:rsid w:val="008D2E58"/>
    <w:rsid w:val="008D31E9"/>
    <w:rsid w:val="008D3DF7"/>
    <w:rsid w:val="008D5F23"/>
    <w:rsid w:val="008D65DA"/>
    <w:rsid w:val="008D6DC0"/>
    <w:rsid w:val="008E01A6"/>
    <w:rsid w:val="008E1686"/>
    <w:rsid w:val="008E1CEC"/>
    <w:rsid w:val="008E3F9E"/>
    <w:rsid w:val="008E4B75"/>
    <w:rsid w:val="008E52A1"/>
    <w:rsid w:val="008E618E"/>
    <w:rsid w:val="008E6275"/>
    <w:rsid w:val="008E62FF"/>
    <w:rsid w:val="008E6319"/>
    <w:rsid w:val="008E6DAA"/>
    <w:rsid w:val="008E7826"/>
    <w:rsid w:val="008E79C8"/>
    <w:rsid w:val="008E7C4D"/>
    <w:rsid w:val="008F0599"/>
    <w:rsid w:val="008F05E8"/>
    <w:rsid w:val="008F069C"/>
    <w:rsid w:val="008F1093"/>
    <w:rsid w:val="008F23FA"/>
    <w:rsid w:val="008F27B5"/>
    <w:rsid w:val="008F3AB8"/>
    <w:rsid w:val="008F4801"/>
    <w:rsid w:val="008F52F0"/>
    <w:rsid w:val="008F56E0"/>
    <w:rsid w:val="008F64B9"/>
    <w:rsid w:val="008F705B"/>
    <w:rsid w:val="00900542"/>
    <w:rsid w:val="009020D5"/>
    <w:rsid w:val="00902324"/>
    <w:rsid w:val="00902866"/>
    <w:rsid w:val="00902B7E"/>
    <w:rsid w:val="0090360B"/>
    <w:rsid w:val="0090395E"/>
    <w:rsid w:val="009041A7"/>
    <w:rsid w:val="009045D2"/>
    <w:rsid w:val="00904F7D"/>
    <w:rsid w:val="00905096"/>
    <w:rsid w:val="0090771C"/>
    <w:rsid w:val="009077C7"/>
    <w:rsid w:val="00910702"/>
    <w:rsid w:val="00911C1B"/>
    <w:rsid w:val="0091267B"/>
    <w:rsid w:val="00912817"/>
    <w:rsid w:val="009128BB"/>
    <w:rsid w:val="00913F2D"/>
    <w:rsid w:val="00914206"/>
    <w:rsid w:val="00914422"/>
    <w:rsid w:val="00914953"/>
    <w:rsid w:val="00914FE2"/>
    <w:rsid w:val="0091592F"/>
    <w:rsid w:val="0091644E"/>
    <w:rsid w:val="00917FB0"/>
    <w:rsid w:val="009202B1"/>
    <w:rsid w:val="009209AE"/>
    <w:rsid w:val="0092130F"/>
    <w:rsid w:val="009226EE"/>
    <w:rsid w:val="0092325E"/>
    <w:rsid w:val="0092540B"/>
    <w:rsid w:val="00926D15"/>
    <w:rsid w:val="0092760D"/>
    <w:rsid w:val="00930B95"/>
    <w:rsid w:val="009315CB"/>
    <w:rsid w:val="0093326A"/>
    <w:rsid w:val="0093370B"/>
    <w:rsid w:val="00933714"/>
    <w:rsid w:val="009340F1"/>
    <w:rsid w:val="009345E2"/>
    <w:rsid w:val="00934FB4"/>
    <w:rsid w:val="0093577E"/>
    <w:rsid w:val="00935988"/>
    <w:rsid w:val="0093609B"/>
    <w:rsid w:val="00941399"/>
    <w:rsid w:val="00941B47"/>
    <w:rsid w:val="0094229B"/>
    <w:rsid w:val="00945AE9"/>
    <w:rsid w:val="0094677C"/>
    <w:rsid w:val="0094705D"/>
    <w:rsid w:val="009505D3"/>
    <w:rsid w:val="0095098E"/>
    <w:rsid w:val="009516B9"/>
    <w:rsid w:val="00951FC2"/>
    <w:rsid w:val="00953BEB"/>
    <w:rsid w:val="009546B5"/>
    <w:rsid w:val="00954E32"/>
    <w:rsid w:val="00956860"/>
    <w:rsid w:val="009571BC"/>
    <w:rsid w:val="0095743A"/>
    <w:rsid w:val="00957726"/>
    <w:rsid w:val="00960AE9"/>
    <w:rsid w:val="00960D2C"/>
    <w:rsid w:val="00960D58"/>
    <w:rsid w:val="00961799"/>
    <w:rsid w:val="009623F7"/>
    <w:rsid w:val="009644DD"/>
    <w:rsid w:val="0096715E"/>
    <w:rsid w:val="00967554"/>
    <w:rsid w:val="00970630"/>
    <w:rsid w:val="00971AAF"/>
    <w:rsid w:val="00971F92"/>
    <w:rsid w:val="00972E71"/>
    <w:rsid w:val="009746F0"/>
    <w:rsid w:val="00975800"/>
    <w:rsid w:val="00976173"/>
    <w:rsid w:val="00976586"/>
    <w:rsid w:val="00976814"/>
    <w:rsid w:val="00976B11"/>
    <w:rsid w:val="00976F62"/>
    <w:rsid w:val="009803CA"/>
    <w:rsid w:val="009804CA"/>
    <w:rsid w:val="00980550"/>
    <w:rsid w:val="00981EF5"/>
    <w:rsid w:val="009823FC"/>
    <w:rsid w:val="00982745"/>
    <w:rsid w:val="00982DBA"/>
    <w:rsid w:val="0098429B"/>
    <w:rsid w:val="009847A1"/>
    <w:rsid w:val="00984A0B"/>
    <w:rsid w:val="00984E31"/>
    <w:rsid w:val="00985255"/>
    <w:rsid w:val="00990563"/>
    <w:rsid w:val="009919C5"/>
    <w:rsid w:val="009923A4"/>
    <w:rsid w:val="00993358"/>
    <w:rsid w:val="00993FED"/>
    <w:rsid w:val="009943CB"/>
    <w:rsid w:val="009947DF"/>
    <w:rsid w:val="009959DA"/>
    <w:rsid w:val="009963D9"/>
    <w:rsid w:val="0099778B"/>
    <w:rsid w:val="009A0256"/>
    <w:rsid w:val="009A0BE7"/>
    <w:rsid w:val="009A0E91"/>
    <w:rsid w:val="009A220F"/>
    <w:rsid w:val="009A2725"/>
    <w:rsid w:val="009A754E"/>
    <w:rsid w:val="009A79FD"/>
    <w:rsid w:val="009A7E9A"/>
    <w:rsid w:val="009B07CB"/>
    <w:rsid w:val="009B0F8F"/>
    <w:rsid w:val="009B1C01"/>
    <w:rsid w:val="009B33C4"/>
    <w:rsid w:val="009B3FC2"/>
    <w:rsid w:val="009B4AB3"/>
    <w:rsid w:val="009B5683"/>
    <w:rsid w:val="009B63AB"/>
    <w:rsid w:val="009B6B10"/>
    <w:rsid w:val="009B6F11"/>
    <w:rsid w:val="009B764C"/>
    <w:rsid w:val="009B7907"/>
    <w:rsid w:val="009C1853"/>
    <w:rsid w:val="009C266C"/>
    <w:rsid w:val="009C2758"/>
    <w:rsid w:val="009C2930"/>
    <w:rsid w:val="009C33F4"/>
    <w:rsid w:val="009C42B8"/>
    <w:rsid w:val="009C48F7"/>
    <w:rsid w:val="009C4E69"/>
    <w:rsid w:val="009C5322"/>
    <w:rsid w:val="009C6BF6"/>
    <w:rsid w:val="009C739E"/>
    <w:rsid w:val="009C7622"/>
    <w:rsid w:val="009D050B"/>
    <w:rsid w:val="009D130E"/>
    <w:rsid w:val="009D345A"/>
    <w:rsid w:val="009D3C44"/>
    <w:rsid w:val="009D4913"/>
    <w:rsid w:val="009D49F9"/>
    <w:rsid w:val="009D5E3A"/>
    <w:rsid w:val="009D62D4"/>
    <w:rsid w:val="009D63B9"/>
    <w:rsid w:val="009D7C67"/>
    <w:rsid w:val="009E0A58"/>
    <w:rsid w:val="009E3D84"/>
    <w:rsid w:val="009E4C3F"/>
    <w:rsid w:val="009E4C8A"/>
    <w:rsid w:val="009E4E47"/>
    <w:rsid w:val="009E4EBE"/>
    <w:rsid w:val="009E51C1"/>
    <w:rsid w:val="009E5E88"/>
    <w:rsid w:val="009E74FA"/>
    <w:rsid w:val="009F0306"/>
    <w:rsid w:val="009F08A7"/>
    <w:rsid w:val="009F104C"/>
    <w:rsid w:val="009F180A"/>
    <w:rsid w:val="009F1B94"/>
    <w:rsid w:val="009F1EFE"/>
    <w:rsid w:val="009F23B0"/>
    <w:rsid w:val="009F2755"/>
    <w:rsid w:val="009F2850"/>
    <w:rsid w:val="009F2DD8"/>
    <w:rsid w:val="009F2E06"/>
    <w:rsid w:val="009F5A51"/>
    <w:rsid w:val="009F5BD3"/>
    <w:rsid w:val="009F5E37"/>
    <w:rsid w:val="009F6143"/>
    <w:rsid w:val="009F7F3A"/>
    <w:rsid w:val="009F7F87"/>
    <w:rsid w:val="00A00399"/>
    <w:rsid w:val="00A0179C"/>
    <w:rsid w:val="00A018A4"/>
    <w:rsid w:val="00A01E3F"/>
    <w:rsid w:val="00A021B1"/>
    <w:rsid w:val="00A024E8"/>
    <w:rsid w:val="00A0473C"/>
    <w:rsid w:val="00A04A2B"/>
    <w:rsid w:val="00A04A35"/>
    <w:rsid w:val="00A06570"/>
    <w:rsid w:val="00A0687A"/>
    <w:rsid w:val="00A07052"/>
    <w:rsid w:val="00A11357"/>
    <w:rsid w:val="00A1268E"/>
    <w:rsid w:val="00A12F8E"/>
    <w:rsid w:val="00A1308B"/>
    <w:rsid w:val="00A131CA"/>
    <w:rsid w:val="00A139A2"/>
    <w:rsid w:val="00A15080"/>
    <w:rsid w:val="00A162DE"/>
    <w:rsid w:val="00A17211"/>
    <w:rsid w:val="00A1725E"/>
    <w:rsid w:val="00A2046F"/>
    <w:rsid w:val="00A21CA4"/>
    <w:rsid w:val="00A22673"/>
    <w:rsid w:val="00A22B46"/>
    <w:rsid w:val="00A2313A"/>
    <w:rsid w:val="00A23174"/>
    <w:rsid w:val="00A23333"/>
    <w:rsid w:val="00A23BE0"/>
    <w:rsid w:val="00A23D26"/>
    <w:rsid w:val="00A24219"/>
    <w:rsid w:val="00A259A0"/>
    <w:rsid w:val="00A2717E"/>
    <w:rsid w:val="00A31D5B"/>
    <w:rsid w:val="00A32B9E"/>
    <w:rsid w:val="00A32CDD"/>
    <w:rsid w:val="00A33175"/>
    <w:rsid w:val="00A3334E"/>
    <w:rsid w:val="00A34029"/>
    <w:rsid w:val="00A3409F"/>
    <w:rsid w:val="00A34F63"/>
    <w:rsid w:val="00A3577B"/>
    <w:rsid w:val="00A4116A"/>
    <w:rsid w:val="00A41505"/>
    <w:rsid w:val="00A4211A"/>
    <w:rsid w:val="00A43676"/>
    <w:rsid w:val="00A4372E"/>
    <w:rsid w:val="00A43E9A"/>
    <w:rsid w:val="00A44AE4"/>
    <w:rsid w:val="00A45C3C"/>
    <w:rsid w:val="00A46B98"/>
    <w:rsid w:val="00A46E33"/>
    <w:rsid w:val="00A4787B"/>
    <w:rsid w:val="00A50549"/>
    <w:rsid w:val="00A5147D"/>
    <w:rsid w:val="00A52223"/>
    <w:rsid w:val="00A5236A"/>
    <w:rsid w:val="00A52CD3"/>
    <w:rsid w:val="00A52D1F"/>
    <w:rsid w:val="00A52DCD"/>
    <w:rsid w:val="00A53ACD"/>
    <w:rsid w:val="00A56045"/>
    <w:rsid w:val="00A5659E"/>
    <w:rsid w:val="00A56817"/>
    <w:rsid w:val="00A56F4C"/>
    <w:rsid w:val="00A574BA"/>
    <w:rsid w:val="00A57D8F"/>
    <w:rsid w:val="00A612DA"/>
    <w:rsid w:val="00A61942"/>
    <w:rsid w:val="00A61C4D"/>
    <w:rsid w:val="00A61F6D"/>
    <w:rsid w:val="00A62265"/>
    <w:rsid w:val="00A6257D"/>
    <w:rsid w:val="00A62B4D"/>
    <w:rsid w:val="00A63493"/>
    <w:rsid w:val="00A635BE"/>
    <w:rsid w:val="00A645F7"/>
    <w:rsid w:val="00A668ED"/>
    <w:rsid w:val="00A66F14"/>
    <w:rsid w:val="00A6787F"/>
    <w:rsid w:val="00A67FF8"/>
    <w:rsid w:val="00A70863"/>
    <w:rsid w:val="00A70DA3"/>
    <w:rsid w:val="00A7118B"/>
    <w:rsid w:val="00A7224A"/>
    <w:rsid w:val="00A74883"/>
    <w:rsid w:val="00A74A39"/>
    <w:rsid w:val="00A756C2"/>
    <w:rsid w:val="00A765FA"/>
    <w:rsid w:val="00A7689E"/>
    <w:rsid w:val="00A8122B"/>
    <w:rsid w:val="00A82040"/>
    <w:rsid w:val="00A82881"/>
    <w:rsid w:val="00A82AF5"/>
    <w:rsid w:val="00A83B4E"/>
    <w:rsid w:val="00A83C4B"/>
    <w:rsid w:val="00A840B7"/>
    <w:rsid w:val="00A84A56"/>
    <w:rsid w:val="00A84EC7"/>
    <w:rsid w:val="00A86461"/>
    <w:rsid w:val="00A872E0"/>
    <w:rsid w:val="00A87520"/>
    <w:rsid w:val="00A902D6"/>
    <w:rsid w:val="00A90A7C"/>
    <w:rsid w:val="00A90D66"/>
    <w:rsid w:val="00A91CC6"/>
    <w:rsid w:val="00A930C1"/>
    <w:rsid w:val="00A93683"/>
    <w:rsid w:val="00A94194"/>
    <w:rsid w:val="00A9464E"/>
    <w:rsid w:val="00A9481B"/>
    <w:rsid w:val="00A95A2F"/>
    <w:rsid w:val="00A96C10"/>
    <w:rsid w:val="00A97960"/>
    <w:rsid w:val="00A97C0B"/>
    <w:rsid w:val="00AA0152"/>
    <w:rsid w:val="00AA061E"/>
    <w:rsid w:val="00AA0DA1"/>
    <w:rsid w:val="00AA3152"/>
    <w:rsid w:val="00AA37D0"/>
    <w:rsid w:val="00AA407B"/>
    <w:rsid w:val="00AA58DC"/>
    <w:rsid w:val="00AA5FB0"/>
    <w:rsid w:val="00AA784D"/>
    <w:rsid w:val="00AB28B8"/>
    <w:rsid w:val="00AB3B37"/>
    <w:rsid w:val="00AB4BC7"/>
    <w:rsid w:val="00AB671C"/>
    <w:rsid w:val="00AB6AD2"/>
    <w:rsid w:val="00AB6B04"/>
    <w:rsid w:val="00AB6D7B"/>
    <w:rsid w:val="00AB6EBC"/>
    <w:rsid w:val="00AB7AA8"/>
    <w:rsid w:val="00AC0963"/>
    <w:rsid w:val="00AC16E3"/>
    <w:rsid w:val="00AC20C6"/>
    <w:rsid w:val="00AC27D7"/>
    <w:rsid w:val="00AC426E"/>
    <w:rsid w:val="00AC427B"/>
    <w:rsid w:val="00AC481F"/>
    <w:rsid w:val="00AC5079"/>
    <w:rsid w:val="00AC706D"/>
    <w:rsid w:val="00AD14C8"/>
    <w:rsid w:val="00AD1631"/>
    <w:rsid w:val="00AD2522"/>
    <w:rsid w:val="00AD50C5"/>
    <w:rsid w:val="00AD5862"/>
    <w:rsid w:val="00AD5E22"/>
    <w:rsid w:val="00AD69F7"/>
    <w:rsid w:val="00AD774E"/>
    <w:rsid w:val="00AE11D1"/>
    <w:rsid w:val="00AE1A8D"/>
    <w:rsid w:val="00AE46AE"/>
    <w:rsid w:val="00AE4E84"/>
    <w:rsid w:val="00AE5B9E"/>
    <w:rsid w:val="00AE617C"/>
    <w:rsid w:val="00AE7567"/>
    <w:rsid w:val="00AF10DB"/>
    <w:rsid w:val="00AF2680"/>
    <w:rsid w:val="00AF3872"/>
    <w:rsid w:val="00AF3B2F"/>
    <w:rsid w:val="00AF453A"/>
    <w:rsid w:val="00AF4FFC"/>
    <w:rsid w:val="00AF52F5"/>
    <w:rsid w:val="00AF5C79"/>
    <w:rsid w:val="00AF5FED"/>
    <w:rsid w:val="00AF6736"/>
    <w:rsid w:val="00AF7882"/>
    <w:rsid w:val="00AF79B4"/>
    <w:rsid w:val="00B00FB2"/>
    <w:rsid w:val="00B01E30"/>
    <w:rsid w:val="00B0250A"/>
    <w:rsid w:val="00B03C6A"/>
    <w:rsid w:val="00B04055"/>
    <w:rsid w:val="00B0444E"/>
    <w:rsid w:val="00B0528B"/>
    <w:rsid w:val="00B057B4"/>
    <w:rsid w:val="00B057D0"/>
    <w:rsid w:val="00B06714"/>
    <w:rsid w:val="00B06B6E"/>
    <w:rsid w:val="00B06FFE"/>
    <w:rsid w:val="00B07253"/>
    <w:rsid w:val="00B07423"/>
    <w:rsid w:val="00B07ECF"/>
    <w:rsid w:val="00B11020"/>
    <w:rsid w:val="00B11382"/>
    <w:rsid w:val="00B1139B"/>
    <w:rsid w:val="00B1359D"/>
    <w:rsid w:val="00B13C1B"/>
    <w:rsid w:val="00B142A7"/>
    <w:rsid w:val="00B157D6"/>
    <w:rsid w:val="00B1644B"/>
    <w:rsid w:val="00B172AE"/>
    <w:rsid w:val="00B1756E"/>
    <w:rsid w:val="00B17975"/>
    <w:rsid w:val="00B21387"/>
    <w:rsid w:val="00B222A8"/>
    <w:rsid w:val="00B22798"/>
    <w:rsid w:val="00B246B2"/>
    <w:rsid w:val="00B24C62"/>
    <w:rsid w:val="00B24F13"/>
    <w:rsid w:val="00B25371"/>
    <w:rsid w:val="00B253F3"/>
    <w:rsid w:val="00B258FB"/>
    <w:rsid w:val="00B25EC8"/>
    <w:rsid w:val="00B26EA3"/>
    <w:rsid w:val="00B27DF4"/>
    <w:rsid w:val="00B344F3"/>
    <w:rsid w:val="00B34718"/>
    <w:rsid w:val="00B35F70"/>
    <w:rsid w:val="00B36D14"/>
    <w:rsid w:val="00B37791"/>
    <w:rsid w:val="00B41200"/>
    <w:rsid w:val="00B41664"/>
    <w:rsid w:val="00B42021"/>
    <w:rsid w:val="00B4234E"/>
    <w:rsid w:val="00B42BA3"/>
    <w:rsid w:val="00B43691"/>
    <w:rsid w:val="00B43759"/>
    <w:rsid w:val="00B4392D"/>
    <w:rsid w:val="00B44BCF"/>
    <w:rsid w:val="00B451E6"/>
    <w:rsid w:val="00B4536F"/>
    <w:rsid w:val="00B45CD5"/>
    <w:rsid w:val="00B45E37"/>
    <w:rsid w:val="00B45FCB"/>
    <w:rsid w:val="00B461B9"/>
    <w:rsid w:val="00B46C1D"/>
    <w:rsid w:val="00B46C97"/>
    <w:rsid w:val="00B5068B"/>
    <w:rsid w:val="00B5097D"/>
    <w:rsid w:val="00B51E0A"/>
    <w:rsid w:val="00B51F41"/>
    <w:rsid w:val="00B51FE6"/>
    <w:rsid w:val="00B52676"/>
    <w:rsid w:val="00B5371B"/>
    <w:rsid w:val="00B5380C"/>
    <w:rsid w:val="00B56E61"/>
    <w:rsid w:val="00B57C45"/>
    <w:rsid w:val="00B60786"/>
    <w:rsid w:val="00B62ED9"/>
    <w:rsid w:val="00B64696"/>
    <w:rsid w:val="00B64DB9"/>
    <w:rsid w:val="00B6537A"/>
    <w:rsid w:val="00B6553B"/>
    <w:rsid w:val="00B66E7F"/>
    <w:rsid w:val="00B671DA"/>
    <w:rsid w:val="00B67EB7"/>
    <w:rsid w:val="00B72B35"/>
    <w:rsid w:val="00B73E24"/>
    <w:rsid w:val="00B74E71"/>
    <w:rsid w:val="00B75B19"/>
    <w:rsid w:val="00B76465"/>
    <w:rsid w:val="00B776F2"/>
    <w:rsid w:val="00B778F3"/>
    <w:rsid w:val="00B77EE1"/>
    <w:rsid w:val="00B80513"/>
    <w:rsid w:val="00B807B8"/>
    <w:rsid w:val="00B807CF"/>
    <w:rsid w:val="00B80F18"/>
    <w:rsid w:val="00B817EF"/>
    <w:rsid w:val="00B82749"/>
    <w:rsid w:val="00B828C4"/>
    <w:rsid w:val="00B835F7"/>
    <w:rsid w:val="00B83645"/>
    <w:rsid w:val="00B83F80"/>
    <w:rsid w:val="00B8468D"/>
    <w:rsid w:val="00B84A72"/>
    <w:rsid w:val="00B85B2A"/>
    <w:rsid w:val="00B85DF9"/>
    <w:rsid w:val="00B8646E"/>
    <w:rsid w:val="00B86B20"/>
    <w:rsid w:val="00B876AA"/>
    <w:rsid w:val="00B87C54"/>
    <w:rsid w:val="00B90D3B"/>
    <w:rsid w:val="00B91B41"/>
    <w:rsid w:val="00B941BA"/>
    <w:rsid w:val="00B94F01"/>
    <w:rsid w:val="00B954AB"/>
    <w:rsid w:val="00B9627C"/>
    <w:rsid w:val="00B968CE"/>
    <w:rsid w:val="00B975AA"/>
    <w:rsid w:val="00BA0BAD"/>
    <w:rsid w:val="00BA1636"/>
    <w:rsid w:val="00BA27AC"/>
    <w:rsid w:val="00BA3F11"/>
    <w:rsid w:val="00BA5E66"/>
    <w:rsid w:val="00BA66CD"/>
    <w:rsid w:val="00BA767E"/>
    <w:rsid w:val="00BB1043"/>
    <w:rsid w:val="00BB22F2"/>
    <w:rsid w:val="00BB24A6"/>
    <w:rsid w:val="00BB54CF"/>
    <w:rsid w:val="00BB6A27"/>
    <w:rsid w:val="00BB6E15"/>
    <w:rsid w:val="00BB78C3"/>
    <w:rsid w:val="00BB7F0D"/>
    <w:rsid w:val="00BC0052"/>
    <w:rsid w:val="00BC083F"/>
    <w:rsid w:val="00BC090C"/>
    <w:rsid w:val="00BC2751"/>
    <w:rsid w:val="00BC2827"/>
    <w:rsid w:val="00BC294A"/>
    <w:rsid w:val="00BC2C4A"/>
    <w:rsid w:val="00BC35E9"/>
    <w:rsid w:val="00BC5137"/>
    <w:rsid w:val="00BC6F89"/>
    <w:rsid w:val="00BC7260"/>
    <w:rsid w:val="00BC7936"/>
    <w:rsid w:val="00BD0265"/>
    <w:rsid w:val="00BD029A"/>
    <w:rsid w:val="00BD0F1A"/>
    <w:rsid w:val="00BD22C3"/>
    <w:rsid w:val="00BD2E8C"/>
    <w:rsid w:val="00BD3817"/>
    <w:rsid w:val="00BD45D9"/>
    <w:rsid w:val="00BD6BF1"/>
    <w:rsid w:val="00BD7917"/>
    <w:rsid w:val="00BD7954"/>
    <w:rsid w:val="00BE10C4"/>
    <w:rsid w:val="00BE1ABB"/>
    <w:rsid w:val="00BE2BCA"/>
    <w:rsid w:val="00BE497D"/>
    <w:rsid w:val="00BE4DA7"/>
    <w:rsid w:val="00BE4EFD"/>
    <w:rsid w:val="00BE5738"/>
    <w:rsid w:val="00BE62D1"/>
    <w:rsid w:val="00BE6EB1"/>
    <w:rsid w:val="00BE71BC"/>
    <w:rsid w:val="00BE7AFD"/>
    <w:rsid w:val="00BF0517"/>
    <w:rsid w:val="00BF0E43"/>
    <w:rsid w:val="00BF1888"/>
    <w:rsid w:val="00BF18B9"/>
    <w:rsid w:val="00BF1CE2"/>
    <w:rsid w:val="00BF1F68"/>
    <w:rsid w:val="00BF329E"/>
    <w:rsid w:val="00BF37B7"/>
    <w:rsid w:val="00BF5F40"/>
    <w:rsid w:val="00BF605D"/>
    <w:rsid w:val="00BF6095"/>
    <w:rsid w:val="00BF61A8"/>
    <w:rsid w:val="00BF6333"/>
    <w:rsid w:val="00BF7284"/>
    <w:rsid w:val="00BF77D8"/>
    <w:rsid w:val="00BF7F52"/>
    <w:rsid w:val="00C00ADB"/>
    <w:rsid w:val="00C0375A"/>
    <w:rsid w:val="00C078CA"/>
    <w:rsid w:val="00C11036"/>
    <w:rsid w:val="00C11742"/>
    <w:rsid w:val="00C12314"/>
    <w:rsid w:val="00C128B0"/>
    <w:rsid w:val="00C1449B"/>
    <w:rsid w:val="00C14C57"/>
    <w:rsid w:val="00C15BB7"/>
    <w:rsid w:val="00C16C4A"/>
    <w:rsid w:val="00C16DBC"/>
    <w:rsid w:val="00C17DC0"/>
    <w:rsid w:val="00C213DF"/>
    <w:rsid w:val="00C21930"/>
    <w:rsid w:val="00C22533"/>
    <w:rsid w:val="00C226B6"/>
    <w:rsid w:val="00C24395"/>
    <w:rsid w:val="00C24CCF"/>
    <w:rsid w:val="00C24EE2"/>
    <w:rsid w:val="00C25384"/>
    <w:rsid w:val="00C2622E"/>
    <w:rsid w:val="00C2715C"/>
    <w:rsid w:val="00C32034"/>
    <w:rsid w:val="00C33D56"/>
    <w:rsid w:val="00C34A82"/>
    <w:rsid w:val="00C3637A"/>
    <w:rsid w:val="00C36832"/>
    <w:rsid w:val="00C3749E"/>
    <w:rsid w:val="00C37817"/>
    <w:rsid w:val="00C37920"/>
    <w:rsid w:val="00C37F52"/>
    <w:rsid w:val="00C40C5E"/>
    <w:rsid w:val="00C413D6"/>
    <w:rsid w:val="00C41F07"/>
    <w:rsid w:val="00C422F4"/>
    <w:rsid w:val="00C4319E"/>
    <w:rsid w:val="00C44377"/>
    <w:rsid w:val="00C4437E"/>
    <w:rsid w:val="00C44830"/>
    <w:rsid w:val="00C45795"/>
    <w:rsid w:val="00C46113"/>
    <w:rsid w:val="00C4647A"/>
    <w:rsid w:val="00C46884"/>
    <w:rsid w:val="00C4692F"/>
    <w:rsid w:val="00C47A45"/>
    <w:rsid w:val="00C50218"/>
    <w:rsid w:val="00C51784"/>
    <w:rsid w:val="00C51973"/>
    <w:rsid w:val="00C51DB5"/>
    <w:rsid w:val="00C53370"/>
    <w:rsid w:val="00C5471C"/>
    <w:rsid w:val="00C55084"/>
    <w:rsid w:val="00C5524B"/>
    <w:rsid w:val="00C55A5B"/>
    <w:rsid w:val="00C563F0"/>
    <w:rsid w:val="00C577BB"/>
    <w:rsid w:val="00C614AB"/>
    <w:rsid w:val="00C6201F"/>
    <w:rsid w:val="00C62237"/>
    <w:rsid w:val="00C638E1"/>
    <w:rsid w:val="00C64DC4"/>
    <w:rsid w:val="00C64F32"/>
    <w:rsid w:val="00C654E3"/>
    <w:rsid w:val="00C65840"/>
    <w:rsid w:val="00C676C3"/>
    <w:rsid w:val="00C70404"/>
    <w:rsid w:val="00C70774"/>
    <w:rsid w:val="00C70789"/>
    <w:rsid w:val="00C708DB"/>
    <w:rsid w:val="00C71564"/>
    <w:rsid w:val="00C717E8"/>
    <w:rsid w:val="00C7267C"/>
    <w:rsid w:val="00C72AC1"/>
    <w:rsid w:val="00C7360F"/>
    <w:rsid w:val="00C7537D"/>
    <w:rsid w:val="00C7585B"/>
    <w:rsid w:val="00C758E9"/>
    <w:rsid w:val="00C75BF7"/>
    <w:rsid w:val="00C7719A"/>
    <w:rsid w:val="00C77481"/>
    <w:rsid w:val="00C77EA4"/>
    <w:rsid w:val="00C80616"/>
    <w:rsid w:val="00C80F66"/>
    <w:rsid w:val="00C825B2"/>
    <w:rsid w:val="00C829C8"/>
    <w:rsid w:val="00C8318A"/>
    <w:rsid w:val="00C8342E"/>
    <w:rsid w:val="00C84726"/>
    <w:rsid w:val="00C863E0"/>
    <w:rsid w:val="00C9142E"/>
    <w:rsid w:val="00C91550"/>
    <w:rsid w:val="00C91D42"/>
    <w:rsid w:val="00C92CF9"/>
    <w:rsid w:val="00C93A83"/>
    <w:rsid w:val="00C93A93"/>
    <w:rsid w:val="00C93B55"/>
    <w:rsid w:val="00C95C46"/>
    <w:rsid w:val="00C96381"/>
    <w:rsid w:val="00C96F5B"/>
    <w:rsid w:val="00C978DC"/>
    <w:rsid w:val="00CA0165"/>
    <w:rsid w:val="00CA1F12"/>
    <w:rsid w:val="00CA2F17"/>
    <w:rsid w:val="00CA3FA8"/>
    <w:rsid w:val="00CA497B"/>
    <w:rsid w:val="00CA4C3F"/>
    <w:rsid w:val="00CA5236"/>
    <w:rsid w:val="00CA5AE6"/>
    <w:rsid w:val="00CA5C60"/>
    <w:rsid w:val="00CA6AA7"/>
    <w:rsid w:val="00CA6D2D"/>
    <w:rsid w:val="00CA7B5E"/>
    <w:rsid w:val="00CB0342"/>
    <w:rsid w:val="00CB04F1"/>
    <w:rsid w:val="00CB0770"/>
    <w:rsid w:val="00CB0E5E"/>
    <w:rsid w:val="00CB10DC"/>
    <w:rsid w:val="00CB116F"/>
    <w:rsid w:val="00CB1945"/>
    <w:rsid w:val="00CB291C"/>
    <w:rsid w:val="00CB2994"/>
    <w:rsid w:val="00CB4D04"/>
    <w:rsid w:val="00CB76C9"/>
    <w:rsid w:val="00CC05C6"/>
    <w:rsid w:val="00CC0D9A"/>
    <w:rsid w:val="00CC19EF"/>
    <w:rsid w:val="00CC1D80"/>
    <w:rsid w:val="00CC36E4"/>
    <w:rsid w:val="00CC3A77"/>
    <w:rsid w:val="00CC45AD"/>
    <w:rsid w:val="00CC554F"/>
    <w:rsid w:val="00CC5A9D"/>
    <w:rsid w:val="00CC5CB2"/>
    <w:rsid w:val="00CC6B4A"/>
    <w:rsid w:val="00CC6CAF"/>
    <w:rsid w:val="00CC74A0"/>
    <w:rsid w:val="00CC77B4"/>
    <w:rsid w:val="00CD0699"/>
    <w:rsid w:val="00CD2251"/>
    <w:rsid w:val="00CD25BB"/>
    <w:rsid w:val="00CD3700"/>
    <w:rsid w:val="00CD3BCE"/>
    <w:rsid w:val="00CD4A88"/>
    <w:rsid w:val="00CD54ED"/>
    <w:rsid w:val="00CD5679"/>
    <w:rsid w:val="00CD5955"/>
    <w:rsid w:val="00CD59F1"/>
    <w:rsid w:val="00CD5C52"/>
    <w:rsid w:val="00CD72D2"/>
    <w:rsid w:val="00CD72D8"/>
    <w:rsid w:val="00CE07F3"/>
    <w:rsid w:val="00CE1C6D"/>
    <w:rsid w:val="00CE2286"/>
    <w:rsid w:val="00CE24C8"/>
    <w:rsid w:val="00CE389C"/>
    <w:rsid w:val="00CE38DB"/>
    <w:rsid w:val="00CE4A4E"/>
    <w:rsid w:val="00CE4D62"/>
    <w:rsid w:val="00CE56AD"/>
    <w:rsid w:val="00CE5B5F"/>
    <w:rsid w:val="00CE616C"/>
    <w:rsid w:val="00CF0881"/>
    <w:rsid w:val="00CF0A27"/>
    <w:rsid w:val="00CF169C"/>
    <w:rsid w:val="00CF17DF"/>
    <w:rsid w:val="00CF2233"/>
    <w:rsid w:val="00CF4705"/>
    <w:rsid w:val="00CF4AD2"/>
    <w:rsid w:val="00CF68D0"/>
    <w:rsid w:val="00CF68FE"/>
    <w:rsid w:val="00CF6C15"/>
    <w:rsid w:val="00CF721D"/>
    <w:rsid w:val="00CF798F"/>
    <w:rsid w:val="00D00C75"/>
    <w:rsid w:val="00D01373"/>
    <w:rsid w:val="00D0150A"/>
    <w:rsid w:val="00D016CE"/>
    <w:rsid w:val="00D01960"/>
    <w:rsid w:val="00D0529B"/>
    <w:rsid w:val="00D07630"/>
    <w:rsid w:val="00D10FFF"/>
    <w:rsid w:val="00D112E7"/>
    <w:rsid w:val="00D12373"/>
    <w:rsid w:val="00D1248C"/>
    <w:rsid w:val="00D14986"/>
    <w:rsid w:val="00D153F1"/>
    <w:rsid w:val="00D15AD0"/>
    <w:rsid w:val="00D163A2"/>
    <w:rsid w:val="00D163B6"/>
    <w:rsid w:val="00D17C03"/>
    <w:rsid w:val="00D17C6D"/>
    <w:rsid w:val="00D20E9C"/>
    <w:rsid w:val="00D210A6"/>
    <w:rsid w:val="00D211F2"/>
    <w:rsid w:val="00D213EB"/>
    <w:rsid w:val="00D2354B"/>
    <w:rsid w:val="00D236A1"/>
    <w:rsid w:val="00D23735"/>
    <w:rsid w:val="00D24F90"/>
    <w:rsid w:val="00D25415"/>
    <w:rsid w:val="00D25C8D"/>
    <w:rsid w:val="00D26843"/>
    <w:rsid w:val="00D26908"/>
    <w:rsid w:val="00D26A5E"/>
    <w:rsid w:val="00D26F20"/>
    <w:rsid w:val="00D2727F"/>
    <w:rsid w:val="00D316E3"/>
    <w:rsid w:val="00D319CB"/>
    <w:rsid w:val="00D41080"/>
    <w:rsid w:val="00D41E26"/>
    <w:rsid w:val="00D424C9"/>
    <w:rsid w:val="00D42818"/>
    <w:rsid w:val="00D42F57"/>
    <w:rsid w:val="00D437AD"/>
    <w:rsid w:val="00D44C54"/>
    <w:rsid w:val="00D4549A"/>
    <w:rsid w:val="00D45788"/>
    <w:rsid w:val="00D46D4C"/>
    <w:rsid w:val="00D46F08"/>
    <w:rsid w:val="00D505FC"/>
    <w:rsid w:val="00D5071E"/>
    <w:rsid w:val="00D50A6D"/>
    <w:rsid w:val="00D51A4F"/>
    <w:rsid w:val="00D521E7"/>
    <w:rsid w:val="00D528F1"/>
    <w:rsid w:val="00D52B1C"/>
    <w:rsid w:val="00D52D65"/>
    <w:rsid w:val="00D52F1F"/>
    <w:rsid w:val="00D5426F"/>
    <w:rsid w:val="00D54A10"/>
    <w:rsid w:val="00D55930"/>
    <w:rsid w:val="00D56AE1"/>
    <w:rsid w:val="00D6019C"/>
    <w:rsid w:val="00D60450"/>
    <w:rsid w:val="00D610B3"/>
    <w:rsid w:val="00D611DF"/>
    <w:rsid w:val="00D613C5"/>
    <w:rsid w:val="00D61652"/>
    <w:rsid w:val="00D617CB"/>
    <w:rsid w:val="00D61A20"/>
    <w:rsid w:val="00D61DF8"/>
    <w:rsid w:val="00D61E14"/>
    <w:rsid w:val="00D625AD"/>
    <w:rsid w:val="00D631CF"/>
    <w:rsid w:val="00D64102"/>
    <w:rsid w:val="00D64530"/>
    <w:rsid w:val="00D65167"/>
    <w:rsid w:val="00D654BB"/>
    <w:rsid w:val="00D65BB4"/>
    <w:rsid w:val="00D66084"/>
    <w:rsid w:val="00D668C8"/>
    <w:rsid w:val="00D66F24"/>
    <w:rsid w:val="00D6700D"/>
    <w:rsid w:val="00D6709B"/>
    <w:rsid w:val="00D67397"/>
    <w:rsid w:val="00D6786B"/>
    <w:rsid w:val="00D70462"/>
    <w:rsid w:val="00D70959"/>
    <w:rsid w:val="00D7114C"/>
    <w:rsid w:val="00D713BA"/>
    <w:rsid w:val="00D7274E"/>
    <w:rsid w:val="00D72A91"/>
    <w:rsid w:val="00D72FB6"/>
    <w:rsid w:val="00D733DF"/>
    <w:rsid w:val="00D7431F"/>
    <w:rsid w:val="00D7458B"/>
    <w:rsid w:val="00D74ED8"/>
    <w:rsid w:val="00D75734"/>
    <w:rsid w:val="00D7573B"/>
    <w:rsid w:val="00D75A2A"/>
    <w:rsid w:val="00D75E0D"/>
    <w:rsid w:val="00D80F3F"/>
    <w:rsid w:val="00D813AA"/>
    <w:rsid w:val="00D83079"/>
    <w:rsid w:val="00D8334E"/>
    <w:rsid w:val="00D8366F"/>
    <w:rsid w:val="00D839A9"/>
    <w:rsid w:val="00D84440"/>
    <w:rsid w:val="00D84463"/>
    <w:rsid w:val="00D84B9D"/>
    <w:rsid w:val="00D86059"/>
    <w:rsid w:val="00D91105"/>
    <w:rsid w:val="00D914E2"/>
    <w:rsid w:val="00D91AF6"/>
    <w:rsid w:val="00D9267C"/>
    <w:rsid w:val="00D956D1"/>
    <w:rsid w:val="00DA19C8"/>
    <w:rsid w:val="00DA21ED"/>
    <w:rsid w:val="00DA322D"/>
    <w:rsid w:val="00DA398A"/>
    <w:rsid w:val="00DA55E3"/>
    <w:rsid w:val="00DA59E7"/>
    <w:rsid w:val="00DA716D"/>
    <w:rsid w:val="00DA73BB"/>
    <w:rsid w:val="00DB072F"/>
    <w:rsid w:val="00DB0E8F"/>
    <w:rsid w:val="00DB2EC7"/>
    <w:rsid w:val="00DB3C44"/>
    <w:rsid w:val="00DB4062"/>
    <w:rsid w:val="00DB4154"/>
    <w:rsid w:val="00DB4660"/>
    <w:rsid w:val="00DB47CC"/>
    <w:rsid w:val="00DB50A8"/>
    <w:rsid w:val="00DB57C2"/>
    <w:rsid w:val="00DB76D4"/>
    <w:rsid w:val="00DC0A22"/>
    <w:rsid w:val="00DC1B3B"/>
    <w:rsid w:val="00DC2975"/>
    <w:rsid w:val="00DC344A"/>
    <w:rsid w:val="00DC3578"/>
    <w:rsid w:val="00DC4462"/>
    <w:rsid w:val="00DC47FC"/>
    <w:rsid w:val="00DC4E8D"/>
    <w:rsid w:val="00DC4FD2"/>
    <w:rsid w:val="00DC51EF"/>
    <w:rsid w:val="00DC6217"/>
    <w:rsid w:val="00DC672E"/>
    <w:rsid w:val="00DC6B95"/>
    <w:rsid w:val="00DC6E61"/>
    <w:rsid w:val="00DC7884"/>
    <w:rsid w:val="00DC7AD3"/>
    <w:rsid w:val="00DC7D1A"/>
    <w:rsid w:val="00DD1082"/>
    <w:rsid w:val="00DD2111"/>
    <w:rsid w:val="00DD36E7"/>
    <w:rsid w:val="00DD3C1A"/>
    <w:rsid w:val="00DD445B"/>
    <w:rsid w:val="00DD4A17"/>
    <w:rsid w:val="00DD5380"/>
    <w:rsid w:val="00DD588F"/>
    <w:rsid w:val="00DD5C73"/>
    <w:rsid w:val="00DD5E28"/>
    <w:rsid w:val="00DD66E6"/>
    <w:rsid w:val="00DD7E7E"/>
    <w:rsid w:val="00DE188B"/>
    <w:rsid w:val="00DE1B55"/>
    <w:rsid w:val="00DE1C24"/>
    <w:rsid w:val="00DE2F62"/>
    <w:rsid w:val="00DE5057"/>
    <w:rsid w:val="00DE6C4C"/>
    <w:rsid w:val="00DE74B7"/>
    <w:rsid w:val="00DE7560"/>
    <w:rsid w:val="00DE795D"/>
    <w:rsid w:val="00DF07CA"/>
    <w:rsid w:val="00DF0B13"/>
    <w:rsid w:val="00DF14A4"/>
    <w:rsid w:val="00DF1585"/>
    <w:rsid w:val="00DF2626"/>
    <w:rsid w:val="00DF290B"/>
    <w:rsid w:val="00DF2FB7"/>
    <w:rsid w:val="00DF41BF"/>
    <w:rsid w:val="00DF5436"/>
    <w:rsid w:val="00DF5482"/>
    <w:rsid w:val="00DF5D54"/>
    <w:rsid w:val="00DF6903"/>
    <w:rsid w:val="00DF7182"/>
    <w:rsid w:val="00DF73CC"/>
    <w:rsid w:val="00DF73FE"/>
    <w:rsid w:val="00DF7991"/>
    <w:rsid w:val="00E001BB"/>
    <w:rsid w:val="00E00B49"/>
    <w:rsid w:val="00E00F21"/>
    <w:rsid w:val="00E0195B"/>
    <w:rsid w:val="00E01C3A"/>
    <w:rsid w:val="00E024DA"/>
    <w:rsid w:val="00E04181"/>
    <w:rsid w:val="00E0468C"/>
    <w:rsid w:val="00E0513D"/>
    <w:rsid w:val="00E067D7"/>
    <w:rsid w:val="00E070AF"/>
    <w:rsid w:val="00E10BA4"/>
    <w:rsid w:val="00E10D30"/>
    <w:rsid w:val="00E11D08"/>
    <w:rsid w:val="00E122E9"/>
    <w:rsid w:val="00E13208"/>
    <w:rsid w:val="00E136BF"/>
    <w:rsid w:val="00E137CE"/>
    <w:rsid w:val="00E14F9A"/>
    <w:rsid w:val="00E170E1"/>
    <w:rsid w:val="00E2004B"/>
    <w:rsid w:val="00E200F4"/>
    <w:rsid w:val="00E20142"/>
    <w:rsid w:val="00E2098E"/>
    <w:rsid w:val="00E212DB"/>
    <w:rsid w:val="00E22145"/>
    <w:rsid w:val="00E22154"/>
    <w:rsid w:val="00E22C2D"/>
    <w:rsid w:val="00E24293"/>
    <w:rsid w:val="00E244A8"/>
    <w:rsid w:val="00E24980"/>
    <w:rsid w:val="00E24D21"/>
    <w:rsid w:val="00E25047"/>
    <w:rsid w:val="00E27D35"/>
    <w:rsid w:val="00E31A49"/>
    <w:rsid w:val="00E32354"/>
    <w:rsid w:val="00E323A5"/>
    <w:rsid w:val="00E3300B"/>
    <w:rsid w:val="00E344E9"/>
    <w:rsid w:val="00E351A5"/>
    <w:rsid w:val="00E356B5"/>
    <w:rsid w:val="00E3580F"/>
    <w:rsid w:val="00E35FC4"/>
    <w:rsid w:val="00E364B8"/>
    <w:rsid w:val="00E3780E"/>
    <w:rsid w:val="00E40612"/>
    <w:rsid w:val="00E40B93"/>
    <w:rsid w:val="00E41C11"/>
    <w:rsid w:val="00E41F26"/>
    <w:rsid w:val="00E429E9"/>
    <w:rsid w:val="00E43A5E"/>
    <w:rsid w:val="00E442CD"/>
    <w:rsid w:val="00E4462F"/>
    <w:rsid w:val="00E449B3"/>
    <w:rsid w:val="00E44B9C"/>
    <w:rsid w:val="00E46FA2"/>
    <w:rsid w:val="00E50AA4"/>
    <w:rsid w:val="00E51388"/>
    <w:rsid w:val="00E514FB"/>
    <w:rsid w:val="00E51548"/>
    <w:rsid w:val="00E519B8"/>
    <w:rsid w:val="00E53FEA"/>
    <w:rsid w:val="00E55297"/>
    <w:rsid w:val="00E562A6"/>
    <w:rsid w:val="00E577D4"/>
    <w:rsid w:val="00E57B95"/>
    <w:rsid w:val="00E61300"/>
    <w:rsid w:val="00E63BB8"/>
    <w:rsid w:val="00E65592"/>
    <w:rsid w:val="00E66AF5"/>
    <w:rsid w:val="00E6760F"/>
    <w:rsid w:val="00E678BC"/>
    <w:rsid w:val="00E67E05"/>
    <w:rsid w:val="00E704D7"/>
    <w:rsid w:val="00E7083A"/>
    <w:rsid w:val="00E71748"/>
    <w:rsid w:val="00E719D0"/>
    <w:rsid w:val="00E71D78"/>
    <w:rsid w:val="00E72728"/>
    <w:rsid w:val="00E72CFF"/>
    <w:rsid w:val="00E73DFB"/>
    <w:rsid w:val="00E73F50"/>
    <w:rsid w:val="00E7497E"/>
    <w:rsid w:val="00E763A8"/>
    <w:rsid w:val="00E76D4E"/>
    <w:rsid w:val="00E76EF2"/>
    <w:rsid w:val="00E76F10"/>
    <w:rsid w:val="00E76F22"/>
    <w:rsid w:val="00E77918"/>
    <w:rsid w:val="00E80048"/>
    <w:rsid w:val="00E80205"/>
    <w:rsid w:val="00E80D1F"/>
    <w:rsid w:val="00E81803"/>
    <w:rsid w:val="00E82C9A"/>
    <w:rsid w:val="00E832DC"/>
    <w:rsid w:val="00E8457B"/>
    <w:rsid w:val="00E87D9E"/>
    <w:rsid w:val="00E9035F"/>
    <w:rsid w:val="00E92472"/>
    <w:rsid w:val="00E92577"/>
    <w:rsid w:val="00E93314"/>
    <w:rsid w:val="00E9338C"/>
    <w:rsid w:val="00E93F9D"/>
    <w:rsid w:val="00E95422"/>
    <w:rsid w:val="00E9595C"/>
    <w:rsid w:val="00E95C24"/>
    <w:rsid w:val="00E96F65"/>
    <w:rsid w:val="00EA0CD5"/>
    <w:rsid w:val="00EA1D57"/>
    <w:rsid w:val="00EA492A"/>
    <w:rsid w:val="00EA635E"/>
    <w:rsid w:val="00EB229C"/>
    <w:rsid w:val="00EB2471"/>
    <w:rsid w:val="00EB2D12"/>
    <w:rsid w:val="00EB5199"/>
    <w:rsid w:val="00EB5B39"/>
    <w:rsid w:val="00EB5DC9"/>
    <w:rsid w:val="00EB60F7"/>
    <w:rsid w:val="00EB6465"/>
    <w:rsid w:val="00EB6AF1"/>
    <w:rsid w:val="00EB6B27"/>
    <w:rsid w:val="00EB6F29"/>
    <w:rsid w:val="00EB78B0"/>
    <w:rsid w:val="00EC06C0"/>
    <w:rsid w:val="00EC199E"/>
    <w:rsid w:val="00EC1A4F"/>
    <w:rsid w:val="00EC2B90"/>
    <w:rsid w:val="00EC43D0"/>
    <w:rsid w:val="00EC47BA"/>
    <w:rsid w:val="00EC4F3C"/>
    <w:rsid w:val="00EC5634"/>
    <w:rsid w:val="00EC6261"/>
    <w:rsid w:val="00EC63ED"/>
    <w:rsid w:val="00ED056F"/>
    <w:rsid w:val="00ED1093"/>
    <w:rsid w:val="00ED1476"/>
    <w:rsid w:val="00ED1C3D"/>
    <w:rsid w:val="00ED2154"/>
    <w:rsid w:val="00ED2907"/>
    <w:rsid w:val="00ED3BBE"/>
    <w:rsid w:val="00ED3E46"/>
    <w:rsid w:val="00ED49EB"/>
    <w:rsid w:val="00ED4A0A"/>
    <w:rsid w:val="00ED525B"/>
    <w:rsid w:val="00ED5302"/>
    <w:rsid w:val="00ED5EFA"/>
    <w:rsid w:val="00ED6798"/>
    <w:rsid w:val="00ED7983"/>
    <w:rsid w:val="00EE011E"/>
    <w:rsid w:val="00EE0FFB"/>
    <w:rsid w:val="00EE29E1"/>
    <w:rsid w:val="00EE2FFD"/>
    <w:rsid w:val="00EE3815"/>
    <w:rsid w:val="00EE3851"/>
    <w:rsid w:val="00EE3ACF"/>
    <w:rsid w:val="00EE4EC3"/>
    <w:rsid w:val="00EE6EDD"/>
    <w:rsid w:val="00EE7753"/>
    <w:rsid w:val="00EF0559"/>
    <w:rsid w:val="00EF064C"/>
    <w:rsid w:val="00EF0DB0"/>
    <w:rsid w:val="00EF1CD2"/>
    <w:rsid w:val="00EF2869"/>
    <w:rsid w:val="00EF299F"/>
    <w:rsid w:val="00EF2A2A"/>
    <w:rsid w:val="00EF4BBE"/>
    <w:rsid w:val="00EF6EBC"/>
    <w:rsid w:val="00EF702D"/>
    <w:rsid w:val="00EF7457"/>
    <w:rsid w:val="00F00419"/>
    <w:rsid w:val="00F028D9"/>
    <w:rsid w:val="00F02957"/>
    <w:rsid w:val="00F03B48"/>
    <w:rsid w:val="00F046BE"/>
    <w:rsid w:val="00F05C6A"/>
    <w:rsid w:val="00F05E63"/>
    <w:rsid w:val="00F06883"/>
    <w:rsid w:val="00F06D00"/>
    <w:rsid w:val="00F07279"/>
    <w:rsid w:val="00F10A28"/>
    <w:rsid w:val="00F11C60"/>
    <w:rsid w:val="00F128B0"/>
    <w:rsid w:val="00F14269"/>
    <w:rsid w:val="00F159EA"/>
    <w:rsid w:val="00F15B35"/>
    <w:rsid w:val="00F175D2"/>
    <w:rsid w:val="00F17E98"/>
    <w:rsid w:val="00F20C57"/>
    <w:rsid w:val="00F2177D"/>
    <w:rsid w:val="00F21828"/>
    <w:rsid w:val="00F218C7"/>
    <w:rsid w:val="00F21DF9"/>
    <w:rsid w:val="00F233D3"/>
    <w:rsid w:val="00F24B1D"/>
    <w:rsid w:val="00F25450"/>
    <w:rsid w:val="00F26F04"/>
    <w:rsid w:val="00F30B51"/>
    <w:rsid w:val="00F320EB"/>
    <w:rsid w:val="00F33A7B"/>
    <w:rsid w:val="00F346B2"/>
    <w:rsid w:val="00F34B53"/>
    <w:rsid w:val="00F3597A"/>
    <w:rsid w:val="00F361E5"/>
    <w:rsid w:val="00F36B97"/>
    <w:rsid w:val="00F36DD9"/>
    <w:rsid w:val="00F3767A"/>
    <w:rsid w:val="00F412A6"/>
    <w:rsid w:val="00F42496"/>
    <w:rsid w:val="00F425C3"/>
    <w:rsid w:val="00F43442"/>
    <w:rsid w:val="00F43B02"/>
    <w:rsid w:val="00F44762"/>
    <w:rsid w:val="00F44C9A"/>
    <w:rsid w:val="00F454A4"/>
    <w:rsid w:val="00F46493"/>
    <w:rsid w:val="00F46E11"/>
    <w:rsid w:val="00F4739D"/>
    <w:rsid w:val="00F47E5D"/>
    <w:rsid w:val="00F515A5"/>
    <w:rsid w:val="00F5384D"/>
    <w:rsid w:val="00F53A55"/>
    <w:rsid w:val="00F543DF"/>
    <w:rsid w:val="00F544F6"/>
    <w:rsid w:val="00F54722"/>
    <w:rsid w:val="00F54C98"/>
    <w:rsid w:val="00F55276"/>
    <w:rsid w:val="00F574D0"/>
    <w:rsid w:val="00F57508"/>
    <w:rsid w:val="00F57618"/>
    <w:rsid w:val="00F57A39"/>
    <w:rsid w:val="00F613F9"/>
    <w:rsid w:val="00F61992"/>
    <w:rsid w:val="00F62BB0"/>
    <w:rsid w:val="00F66097"/>
    <w:rsid w:val="00F667EE"/>
    <w:rsid w:val="00F6768B"/>
    <w:rsid w:val="00F67988"/>
    <w:rsid w:val="00F67AAD"/>
    <w:rsid w:val="00F71B2D"/>
    <w:rsid w:val="00F71D2D"/>
    <w:rsid w:val="00F73106"/>
    <w:rsid w:val="00F7377B"/>
    <w:rsid w:val="00F75571"/>
    <w:rsid w:val="00F762F2"/>
    <w:rsid w:val="00F766BE"/>
    <w:rsid w:val="00F76BDF"/>
    <w:rsid w:val="00F7762F"/>
    <w:rsid w:val="00F77BCC"/>
    <w:rsid w:val="00F8052C"/>
    <w:rsid w:val="00F80BFF"/>
    <w:rsid w:val="00F8155D"/>
    <w:rsid w:val="00F81849"/>
    <w:rsid w:val="00F8193A"/>
    <w:rsid w:val="00F81957"/>
    <w:rsid w:val="00F821EC"/>
    <w:rsid w:val="00F82E42"/>
    <w:rsid w:val="00F831FB"/>
    <w:rsid w:val="00F833FB"/>
    <w:rsid w:val="00F83B10"/>
    <w:rsid w:val="00F841DB"/>
    <w:rsid w:val="00F84BCD"/>
    <w:rsid w:val="00F85104"/>
    <w:rsid w:val="00F865F3"/>
    <w:rsid w:val="00F8694C"/>
    <w:rsid w:val="00F86AE9"/>
    <w:rsid w:val="00F87111"/>
    <w:rsid w:val="00F87113"/>
    <w:rsid w:val="00F87B6B"/>
    <w:rsid w:val="00F87FBE"/>
    <w:rsid w:val="00F90791"/>
    <w:rsid w:val="00F90E85"/>
    <w:rsid w:val="00F9237D"/>
    <w:rsid w:val="00F92436"/>
    <w:rsid w:val="00F9350E"/>
    <w:rsid w:val="00F94A65"/>
    <w:rsid w:val="00F94E08"/>
    <w:rsid w:val="00F9515E"/>
    <w:rsid w:val="00F95F69"/>
    <w:rsid w:val="00F97754"/>
    <w:rsid w:val="00F9775E"/>
    <w:rsid w:val="00F97ED2"/>
    <w:rsid w:val="00FA0D0D"/>
    <w:rsid w:val="00FA100C"/>
    <w:rsid w:val="00FA2C9A"/>
    <w:rsid w:val="00FA33FB"/>
    <w:rsid w:val="00FA3994"/>
    <w:rsid w:val="00FA4E1B"/>
    <w:rsid w:val="00FA5EE7"/>
    <w:rsid w:val="00FA6743"/>
    <w:rsid w:val="00FA6FD2"/>
    <w:rsid w:val="00FA70E2"/>
    <w:rsid w:val="00FA77F1"/>
    <w:rsid w:val="00FA799B"/>
    <w:rsid w:val="00FA7B2B"/>
    <w:rsid w:val="00FB24F0"/>
    <w:rsid w:val="00FB2FBF"/>
    <w:rsid w:val="00FB356D"/>
    <w:rsid w:val="00FB366D"/>
    <w:rsid w:val="00FB383A"/>
    <w:rsid w:val="00FB45A0"/>
    <w:rsid w:val="00FB55EE"/>
    <w:rsid w:val="00FB6106"/>
    <w:rsid w:val="00FC0337"/>
    <w:rsid w:val="00FC0E13"/>
    <w:rsid w:val="00FC1010"/>
    <w:rsid w:val="00FC1989"/>
    <w:rsid w:val="00FC1A18"/>
    <w:rsid w:val="00FC1D82"/>
    <w:rsid w:val="00FC4B6F"/>
    <w:rsid w:val="00FC5335"/>
    <w:rsid w:val="00FC744D"/>
    <w:rsid w:val="00FC7451"/>
    <w:rsid w:val="00FC7889"/>
    <w:rsid w:val="00FD05C0"/>
    <w:rsid w:val="00FD0E41"/>
    <w:rsid w:val="00FD226C"/>
    <w:rsid w:val="00FD334F"/>
    <w:rsid w:val="00FD53A2"/>
    <w:rsid w:val="00FD5993"/>
    <w:rsid w:val="00FD68F5"/>
    <w:rsid w:val="00FD6CC8"/>
    <w:rsid w:val="00FD6E21"/>
    <w:rsid w:val="00FD7078"/>
    <w:rsid w:val="00FD70EA"/>
    <w:rsid w:val="00FD776C"/>
    <w:rsid w:val="00FE016B"/>
    <w:rsid w:val="00FE087D"/>
    <w:rsid w:val="00FE1D26"/>
    <w:rsid w:val="00FE2B4D"/>
    <w:rsid w:val="00FE5DEC"/>
    <w:rsid w:val="00FE7085"/>
    <w:rsid w:val="00FE7445"/>
    <w:rsid w:val="00FE7981"/>
    <w:rsid w:val="00FF10B4"/>
    <w:rsid w:val="00FF1805"/>
    <w:rsid w:val="00FF359D"/>
    <w:rsid w:val="00FF422F"/>
    <w:rsid w:val="00FF49DF"/>
    <w:rsid w:val="00FF5BC8"/>
    <w:rsid w:val="00FF6B2D"/>
    <w:rsid w:val="00FF7023"/>
    <w:rsid w:val="00FF71CF"/>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7992C"/>
  <w15:docId w15:val="{909F6979-EEB5-4F1F-821F-C0209202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00A"/>
    <w:pPr>
      <w:widowControl w:val="0"/>
      <w:autoSpaceDE w:val="0"/>
      <w:autoSpaceDN w:val="0"/>
      <w:adjustRightInd w:val="0"/>
    </w:pPr>
    <w:rPr>
      <w:sz w:val="24"/>
      <w:szCs w:val="24"/>
    </w:rPr>
  </w:style>
  <w:style w:type="paragraph" w:styleId="Heading1">
    <w:name w:val="heading 1"/>
    <w:basedOn w:val="Normal"/>
    <w:next w:val="Normal"/>
    <w:qFormat/>
    <w:rsid w:val="005300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0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00A"/>
    <w:pPr>
      <w:keepNext/>
      <w:spacing w:before="240" w:after="60"/>
      <w:outlineLvl w:val="2"/>
    </w:pPr>
    <w:rPr>
      <w:rFonts w:ascii="Arial" w:hAnsi="Arial" w:cs="Arial"/>
      <w:b/>
      <w:bCs/>
      <w:sz w:val="26"/>
      <w:szCs w:val="26"/>
    </w:rPr>
  </w:style>
  <w:style w:type="paragraph" w:styleId="Heading9">
    <w:name w:val="heading 9"/>
    <w:basedOn w:val="Normal"/>
    <w:next w:val="Normal"/>
    <w:link w:val="Heading9Char"/>
    <w:qFormat/>
    <w:rsid w:val="000F569A"/>
    <w:pPr>
      <w:keepNext/>
      <w:overflowPunct w:val="0"/>
      <w:spacing w:line="480" w:lineRule="auto"/>
      <w:jc w:val="center"/>
      <w:textAlignment w:val="baseline"/>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C76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6C769B"/>
    <w:rPr>
      <w:sz w:val="16"/>
      <w:szCs w:val="16"/>
    </w:rPr>
  </w:style>
  <w:style w:type="paragraph" w:styleId="CommentText">
    <w:name w:val="annotation text"/>
    <w:basedOn w:val="Normal"/>
    <w:link w:val="CommentTextChar"/>
    <w:uiPriority w:val="99"/>
    <w:rsid w:val="006C769B"/>
    <w:rPr>
      <w:sz w:val="20"/>
      <w:szCs w:val="20"/>
    </w:rPr>
  </w:style>
  <w:style w:type="paragraph" w:styleId="CommentSubject">
    <w:name w:val="annotation subject"/>
    <w:basedOn w:val="CommentText"/>
    <w:next w:val="CommentText"/>
    <w:semiHidden/>
    <w:rsid w:val="006C769B"/>
    <w:rPr>
      <w:b/>
      <w:bCs/>
    </w:rPr>
  </w:style>
  <w:style w:type="paragraph" w:styleId="BalloonText">
    <w:name w:val="Balloon Text"/>
    <w:basedOn w:val="Normal"/>
    <w:semiHidden/>
    <w:rsid w:val="006C769B"/>
    <w:rPr>
      <w:rFonts w:ascii="Tahoma" w:hAnsi="Tahoma" w:cs="Tahoma"/>
      <w:sz w:val="16"/>
      <w:szCs w:val="16"/>
    </w:rPr>
  </w:style>
  <w:style w:type="paragraph" w:styleId="BodyTextIndent2">
    <w:name w:val="Body Text Indent 2"/>
    <w:basedOn w:val="Normal"/>
    <w:link w:val="BodyTextIndent2Char"/>
    <w:rsid w:val="006C769B"/>
    <w:pPr>
      <w:overflowPunct w:val="0"/>
      <w:ind w:firstLine="720"/>
      <w:textAlignment w:val="baseline"/>
    </w:pPr>
    <w:rPr>
      <w:szCs w:val="20"/>
    </w:rPr>
  </w:style>
  <w:style w:type="paragraph" w:styleId="BodyTextIndent3">
    <w:name w:val="Body Text Indent 3"/>
    <w:basedOn w:val="Normal"/>
    <w:rsid w:val="00116983"/>
    <w:pPr>
      <w:spacing w:after="120"/>
      <w:ind w:left="360"/>
    </w:pPr>
    <w:rPr>
      <w:sz w:val="16"/>
      <w:szCs w:val="16"/>
    </w:rPr>
  </w:style>
  <w:style w:type="paragraph" w:styleId="FootnoteText">
    <w:name w:val="footnote text"/>
    <w:aliases w:val="Style 9,Car"/>
    <w:basedOn w:val="Normal"/>
    <w:link w:val="FootnoteTextChar"/>
    <w:rsid w:val="008323F8"/>
    <w:rPr>
      <w:sz w:val="20"/>
      <w:szCs w:val="20"/>
    </w:rPr>
  </w:style>
  <w:style w:type="character" w:styleId="FootnoteReference">
    <w:name w:val="footnote reference"/>
    <w:aliases w:val="Style 8"/>
    <w:basedOn w:val="DefaultParagraphFont"/>
    <w:rsid w:val="008323F8"/>
    <w:rPr>
      <w:vertAlign w:val="superscript"/>
    </w:rPr>
  </w:style>
  <w:style w:type="paragraph" w:styleId="BodyText">
    <w:name w:val="Body Text"/>
    <w:basedOn w:val="Normal"/>
    <w:link w:val="BodyTextChar"/>
    <w:rsid w:val="006365E3"/>
    <w:pPr>
      <w:spacing w:after="120"/>
    </w:pPr>
  </w:style>
  <w:style w:type="paragraph" w:customStyle="1" w:styleId="P01BodyText">
    <w:name w:val="P01_BodyText"/>
    <w:basedOn w:val="Normal"/>
    <w:rsid w:val="00261951"/>
    <w:pPr>
      <w:overflowPunct w:val="0"/>
      <w:spacing w:after="120"/>
      <w:textAlignment w:val="baseline"/>
    </w:pPr>
    <w:rPr>
      <w:rFonts w:ascii="Arial" w:hAnsi="Arial"/>
      <w:position w:val="8"/>
      <w:sz w:val="22"/>
      <w:szCs w:val="20"/>
    </w:rPr>
  </w:style>
  <w:style w:type="paragraph" w:styleId="Header">
    <w:name w:val="header"/>
    <w:basedOn w:val="Normal"/>
    <w:link w:val="HeaderChar"/>
    <w:uiPriority w:val="99"/>
    <w:rsid w:val="00273C47"/>
    <w:pPr>
      <w:tabs>
        <w:tab w:val="center" w:pos="4320"/>
        <w:tab w:val="right" w:pos="8640"/>
      </w:tabs>
    </w:pPr>
  </w:style>
  <w:style w:type="paragraph" w:styleId="Footer">
    <w:name w:val="footer"/>
    <w:basedOn w:val="Normal"/>
    <w:link w:val="FooterChar"/>
    <w:rsid w:val="00273C47"/>
    <w:pPr>
      <w:tabs>
        <w:tab w:val="center" w:pos="4320"/>
        <w:tab w:val="right" w:pos="8640"/>
      </w:tabs>
    </w:pPr>
  </w:style>
  <w:style w:type="paragraph" w:styleId="BodyText2">
    <w:name w:val="Body Text 2"/>
    <w:basedOn w:val="Normal"/>
    <w:rsid w:val="000F569A"/>
    <w:pPr>
      <w:spacing w:after="120" w:line="480" w:lineRule="auto"/>
    </w:pPr>
  </w:style>
  <w:style w:type="character" w:customStyle="1" w:styleId="FootnoteTextChar">
    <w:name w:val="Footnote Text Char"/>
    <w:aliases w:val="Style 9 Char,Car Char"/>
    <w:basedOn w:val="DefaultParagraphFont"/>
    <w:link w:val="FootnoteText"/>
    <w:rsid w:val="0053000A"/>
    <w:rPr>
      <w:lang w:val="en-US" w:eastAsia="en-US" w:bidi="ar-SA"/>
    </w:rPr>
  </w:style>
  <w:style w:type="paragraph" w:customStyle="1" w:styleId="Default">
    <w:name w:val="Default"/>
    <w:rsid w:val="00F53A55"/>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9B764C"/>
    <w:rPr>
      <w:color w:val="5F5F5F"/>
      <w:u w:val="single"/>
    </w:rPr>
  </w:style>
  <w:style w:type="character" w:customStyle="1" w:styleId="red1">
    <w:name w:val="red1"/>
    <w:basedOn w:val="DefaultParagraphFont"/>
    <w:rsid w:val="009B764C"/>
    <w:rPr>
      <w:b w:val="0"/>
      <w:bCs w:val="0"/>
      <w:color w:val="B00000"/>
    </w:rPr>
  </w:style>
  <w:style w:type="paragraph" w:styleId="ListParagraph">
    <w:name w:val="List Paragraph"/>
    <w:basedOn w:val="Normal"/>
    <w:uiPriority w:val="34"/>
    <w:qFormat/>
    <w:rsid w:val="00614FB0"/>
    <w:pPr>
      <w:ind w:left="720"/>
    </w:pPr>
  </w:style>
  <w:style w:type="character" w:customStyle="1" w:styleId="formreadonlycontrol1">
    <w:name w:val="formreadonlycontrol1"/>
    <w:basedOn w:val="DefaultParagraphFont"/>
    <w:rsid w:val="00376F61"/>
    <w:rPr>
      <w:color w:val="666666"/>
    </w:rPr>
  </w:style>
  <w:style w:type="character" w:customStyle="1" w:styleId="FooterChar">
    <w:name w:val="Footer Char"/>
    <w:basedOn w:val="DefaultParagraphFont"/>
    <w:link w:val="Footer"/>
    <w:uiPriority w:val="99"/>
    <w:rsid w:val="002731AA"/>
    <w:rPr>
      <w:sz w:val="24"/>
      <w:szCs w:val="24"/>
    </w:rPr>
  </w:style>
  <w:style w:type="paragraph" w:styleId="BodyTextIndent">
    <w:name w:val="Body Text Indent"/>
    <w:basedOn w:val="Normal"/>
    <w:link w:val="BodyTextIndentChar"/>
    <w:rsid w:val="00C24395"/>
    <w:pPr>
      <w:spacing w:after="120"/>
      <w:ind w:left="360"/>
    </w:pPr>
  </w:style>
  <w:style w:type="character" w:customStyle="1" w:styleId="BodyTextIndentChar">
    <w:name w:val="Body Text Indent Char"/>
    <w:basedOn w:val="DefaultParagraphFont"/>
    <w:link w:val="BodyTextIndent"/>
    <w:rsid w:val="00C24395"/>
    <w:rPr>
      <w:sz w:val="24"/>
      <w:szCs w:val="24"/>
    </w:rPr>
  </w:style>
  <w:style w:type="character" w:customStyle="1" w:styleId="BodyTextChar">
    <w:name w:val="Body Text Char"/>
    <w:basedOn w:val="DefaultParagraphFont"/>
    <w:link w:val="BodyText"/>
    <w:rsid w:val="003E26BD"/>
    <w:rPr>
      <w:sz w:val="24"/>
      <w:szCs w:val="24"/>
    </w:rPr>
  </w:style>
  <w:style w:type="character" w:customStyle="1" w:styleId="CommentTextChar">
    <w:name w:val="Comment Text Char"/>
    <w:basedOn w:val="DefaultParagraphFont"/>
    <w:link w:val="CommentText"/>
    <w:uiPriority w:val="99"/>
    <w:rsid w:val="00E0513D"/>
  </w:style>
  <w:style w:type="character" w:customStyle="1" w:styleId="BodyTextIndent2Char">
    <w:name w:val="Body Text Indent 2 Char"/>
    <w:basedOn w:val="DefaultParagraphFont"/>
    <w:link w:val="BodyTextIndent2"/>
    <w:rsid w:val="00DD4A17"/>
    <w:rPr>
      <w:sz w:val="24"/>
    </w:rPr>
  </w:style>
  <w:style w:type="character" w:customStyle="1" w:styleId="HeaderChar">
    <w:name w:val="Header Char"/>
    <w:basedOn w:val="DefaultParagraphFont"/>
    <w:link w:val="Header"/>
    <w:uiPriority w:val="99"/>
    <w:rsid w:val="005778D9"/>
    <w:rPr>
      <w:sz w:val="24"/>
      <w:szCs w:val="24"/>
    </w:rPr>
  </w:style>
  <w:style w:type="character" w:customStyle="1" w:styleId="Heading9Char">
    <w:name w:val="Heading 9 Char"/>
    <w:link w:val="Heading9"/>
    <w:rsid w:val="005F737B"/>
    <w:rPr>
      <w:sz w:val="24"/>
      <w:u w:val="single"/>
    </w:rPr>
  </w:style>
  <w:style w:type="paragraph" w:styleId="NoSpacing">
    <w:name w:val="No Spacing"/>
    <w:uiPriority w:val="1"/>
    <w:qFormat/>
    <w:rsid w:val="001B74A0"/>
    <w:rPr>
      <w:sz w:val="24"/>
      <w:szCs w:val="24"/>
    </w:rPr>
  </w:style>
  <w:style w:type="paragraph" w:styleId="Revision">
    <w:name w:val="Revision"/>
    <w:hidden/>
    <w:uiPriority w:val="99"/>
    <w:semiHidden/>
    <w:rsid w:val="002C44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8261">
      <w:bodyDiv w:val="1"/>
      <w:marLeft w:val="0"/>
      <w:marRight w:val="0"/>
      <w:marTop w:val="0"/>
      <w:marBottom w:val="0"/>
      <w:divBdr>
        <w:top w:val="none" w:sz="0" w:space="0" w:color="auto"/>
        <w:left w:val="none" w:sz="0" w:space="0" w:color="auto"/>
        <w:bottom w:val="none" w:sz="0" w:space="0" w:color="auto"/>
        <w:right w:val="none" w:sz="0" w:space="0" w:color="auto"/>
      </w:divBdr>
    </w:div>
    <w:div w:id="431827450">
      <w:bodyDiv w:val="1"/>
      <w:marLeft w:val="0"/>
      <w:marRight w:val="0"/>
      <w:marTop w:val="0"/>
      <w:marBottom w:val="0"/>
      <w:divBdr>
        <w:top w:val="none" w:sz="0" w:space="0" w:color="auto"/>
        <w:left w:val="none" w:sz="0" w:space="0" w:color="auto"/>
        <w:bottom w:val="none" w:sz="0" w:space="0" w:color="auto"/>
        <w:right w:val="none" w:sz="0" w:space="0" w:color="auto"/>
      </w:divBdr>
    </w:div>
    <w:div w:id="549537828">
      <w:bodyDiv w:val="1"/>
      <w:marLeft w:val="0"/>
      <w:marRight w:val="0"/>
      <w:marTop w:val="0"/>
      <w:marBottom w:val="0"/>
      <w:divBdr>
        <w:top w:val="none" w:sz="0" w:space="0" w:color="auto"/>
        <w:left w:val="none" w:sz="0" w:space="0" w:color="auto"/>
        <w:bottom w:val="none" w:sz="0" w:space="0" w:color="auto"/>
        <w:right w:val="none" w:sz="0" w:space="0" w:color="auto"/>
      </w:divBdr>
      <w:divsChild>
        <w:div w:id="1467702843">
          <w:marLeft w:val="270"/>
          <w:marRight w:val="240"/>
          <w:marTop w:val="240"/>
          <w:marBottom w:val="240"/>
          <w:divBdr>
            <w:top w:val="none" w:sz="0" w:space="0" w:color="auto"/>
            <w:left w:val="none" w:sz="0" w:space="0" w:color="auto"/>
            <w:bottom w:val="none" w:sz="0" w:space="0" w:color="auto"/>
            <w:right w:val="none" w:sz="0" w:space="0" w:color="auto"/>
          </w:divBdr>
        </w:div>
      </w:divsChild>
    </w:div>
    <w:div w:id="920987174">
      <w:bodyDiv w:val="1"/>
      <w:marLeft w:val="0"/>
      <w:marRight w:val="0"/>
      <w:marTop w:val="0"/>
      <w:marBottom w:val="0"/>
      <w:divBdr>
        <w:top w:val="none" w:sz="0" w:space="0" w:color="auto"/>
        <w:left w:val="none" w:sz="0" w:space="0" w:color="auto"/>
        <w:bottom w:val="none" w:sz="0" w:space="0" w:color="auto"/>
        <w:right w:val="none" w:sz="0" w:space="0" w:color="auto"/>
      </w:divBdr>
    </w:div>
    <w:div w:id="1029913747">
      <w:bodyDiv w:val="1"/>
      <w:marLeft w:val="0"/>
      <w:marRight w:val="0"/>
      <w:marTop w:val="0"/>
      <w:marBottom w:val="0"/>
      <w:divBdr>
        <w:top w:val="none" w:sz="0" w:space="0" w:color="auto"/>
        <w:left w:val="none" w:sz="0" w:space="0" w:color="auto"/>
        <w:bottom w:val="none" w:sz="0" w:space="0" w:color="auto"/>
        <w:right w:val="none" w:sz="0" w:space="0" w:color="auto"/>
      </w:divBdr>
    </w:div>
    <w:div w:id="1348095923">
      <w:bodyDiv w:val="1"/>
      <w:marLeft w:val="0"/>
      <w:marRight w:val="0"/>
      <w:marTop w:val="0"/>
      <w:marBottom w:val="0"/>
      <w:divBdr>
        <w:top w:val="none" w:sz="0" w:space="0" w:color="auto"/>
        <w:left w:val="none" w:sz="0" w:space="0" w:color="auto"/>
        <w:bottom w:val="none" w:sz="0" w:space="0" w:color="auto"/>
        <w:right w:val="none" w:sz="0" w:space="0" w:color="auto"/>
      </w:divBdr>
    </w:div>
    <w:div w:id="1428039926">
      <w:bodyDiv w:val="1"/>
      <w:marLeft w:val="0"/>
      <w:marRight w:val="0"/>
      <w:marTop w:val="0"/>
      <w:marBottom w:val="0"/>
      <w:divBdr>
        <w:top w:val="none" w:sz="0" w:space="0" w:color="auto"/>
        <w:left w:val="none" w:sz="0" w:space="0" w:color="auto"/>
        <w:bottom w:val="none" w:sz="0" w:space="0" w:color="auto"/>
        <w:right w:val="none" w:sz="0" w:space="0" w:color="auto"/>
      </w:divBdr>
    </w:div>
    <w:div w:id="16205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Mailbox@finr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AA42-FC63-463D-9605-0DC6F7E4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2200</Words>
  <Characters>12077</Characters>
  <Application>Microsoft Office Word</Application>
  <DocSecurity>0</DocSecurity>
  <Lines>603</Lines>
  <Paragraphs>396</Paragraphs>
  <ScaleCrop>false</ScaleCrop>
  <HeadingPairs>
    <vt:vector size="2" baseType="variant">
      <vt:variant>
        <vt:lpstr>Title</vt:lpstr>
      </vt:variant>
      <vt:variant>
        <vt:i4>1</vt:i4>
      </vt:variant>
    </vt:vector>
  </HeadingPairs>
  <TitlesOfParts>
    <vt:vector size="1" baseType="lpstr">
      <vt:lpstr>BEFORE THE NATIONAL ADJUDICATORY COUNCIL</vt:lpstr>
    </vt:vector>
  </TitlesOfParts>
  <Company>NASD</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NATIONAL ADJUDICATORY COUNCIL</dc:title>
  <dc:creator>Evan Dean</dc:creator>
  <cp:lastModifiedBy>Parker, Michelle</cp:lastModifiedBy>
  <cp:revision>3</cp:revision>
  <cp:lastPrinted>2022-02-17T17:39:00Z</cp:lastPrinted>
  <dcterms:created xsi:type="dcterms:W3CDTF">2023-10-23T15:07:00Z</dcterms:created>
  <dcterms:modified xsi:type="dcterms:W3CDTF">2023-10-24T19:06:00Z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737239061</vt:i4>
  </property>
  <property fmtid="{D5CDD505-2E9C-101B-9397-08002B2CF9AE}" pid="3" name="_NewReviewCycle">
    <vt:lpwstr/>
  </property>
  <property fmtid="{D5CDD505-2E9C-101B-9397-08002B2CF9AE}" pid="4" name="_EmailSubject">
    <vt:lpwstr>BTIG</vt:lpwstr>
  </property>
  <property fmtid="{D5CDD505-2E9C-101B-9397-08002B2CF9AE}" pid="5" name="_AuthorEmail">
    <vt:lpwstr>Andrew.Love@finra.org</vt:lpwstr>
  </property>
  <property fmtid="{D5CDD505-2E9C-101B-9397-08002B2CF9AE}" pid="6" name="_AuthorEmailDisplayName">
    <vt:lpwstr>Love, Andrew</vt:lpwstr>
  </property>
  <property fmtid="{D5CDD505-2E9C-101B-9397-08002B2CF9AE}" pid="7" name="_ReviewingToolsShownOnce">
    <vt:lpwstr/>
  </property>
</Properties>
</file>