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B84F5" w14:textId="77777777" w:rsidR="005F737B" w:rsidRPr="00936563" w:rsidRDefault="005F737B" w:rsidP="005F737B">
      <w:pPr>
        <w:jc w:val="center"/>
        <w:outlineLvl w:val="0"/>
        <w:rPr>
          <w:u w:val="single"/>
        </w:rPr>
      </w:pPr>
      <w:r w:rsidRPr="00936563">
        <w:rPr>
          <w:u w:val="single"/>
        </w:rPr>
        <w:t>BEFORE THE NATIONAL ADJUDICATORY COUNCIL</w:t>
      </w:r>
    </w:p>
    <w:p w14:paraId="7E0864FF" w14:textId="77777777" w:rsidR="005F737B" w:rsidRPr="00936563" w:rsidRDefault="005F737B" w:rsidP="005F737B">
      <w:pPr>
        <w:jc w:val="center"/>
        <w:rPr>
          <w:u w:val="single"/>
        </w:rPr>
      </w:pPr>
    </w:p>
    <w:p w14:paraId="23177B1B" w14:textId="77777777" w:rsidR="005F737B" w:rsidRPr="00936563" w:rsidRDefault="005F737B" w:rsidP="005F737B">
      <w:pPr>
        <w:jc w:val="center"/>
        <w:outlineLvl w:val="0"/>
        <w:rPr>
          <w:u w:val="single"/>
        </w:rPr>
      </w:pPr>
      <w:r w:rsidRPr="00936563">
        <w:rPr>
          <w:u w:val="single"/>
        </w:rPr>
        <w:t>FINANCIAL INDUSTRY REGULATORY AUTHORITY</w:t>
      </w:r>
    </w:p>
    <w:p w14:paraId="56DA8702" w14:textId="77777777" w:rsidR="005F737B" w:rsidRPr="00936563" w:rsidRDefault="005F737B" w:rsidP="005F737B">
      <w:pPr>
        <w:jc w:val="center"/>
        <w:outlineLvl w:val="0"/>
        <w:rPr>
          <w:u w:val="single"/>
        </w:rPr>
      </w:pPr>
    </w:p>
    <w:tbl>
      <w:tblPr>
        <w:tblW w:w="9360" w:type="dxa"/>
        <w:tblInd w:w="134" w:type="dxa"/>
        <w:tblLayout w:type="fixed"/>
        <w:tblCellMar>
          <w:left w:w="134" w:type="dxa"/>
          <w:right w:w="134" w:type="dxa"/>
        </w:tblCellMar>
        <w:tblLook w:val="0000" w:firstRow="0" w:lastRow="0" w:firstColumn="0" w:lastColumn="0" w:noHBand="0" w:noVBand="0"/>
      </w:tblPr>
      <w:tblGrid>
        <w:gridCol w:w="4680"/>
        <w:gridCol w:w="4680"/>
      </w:tblGrid>
      <w:tr w:rsidR="005F737B" w:rsidRPr="00DA6754" w14:paraId="6013848F" w14:textId="77777777" w:rsidTr="00D16417">
        <w:trPr>
          <w:trHeight w:val="3018"/>
        </w:trPr>
        <w:tc>
          <w:tcPr>
            <w:tcW w:w="4680" w:type="dxa"/>
            <w:tcBorders>
              <w:top w:val="single" w:sz="6" w:space="0" w:color="000000"/>
              <w:left w:val="single" w:sz="6" w:space="0" w:color="FFFFFF"/>
              <w:bottom w:val="single" w:sz="6" w:space="0" w:color="000000"/>
              <w:right w:val="single" w:sz="6" w:space="0" w:color="000000"/>
            </w:tcBorders>
          </w:tcPr>
          <w:p w14:paraId="187A4D84" w14:textId="77777777" w:rsidR="005F737B" w:rsidRPr="00936563" w:rsidRDefault="005F737B" w:rsidP="00D16417"/>
          <w:p w14:paraId="26FC891C" w14:textId="77777777" w:rsidR="005F737B" w:rsidRPr="00BD4E4E" w:rsidRDefault="005F737B" w:rsidP="00D16417">
            <w:r w:rsidRPr="00BD4E4E">
              <w:t>In the Matter of the Continued Membership</w:t>
            </w:r>
          </w:p>
          <w:p w14:paraId="4124CDF0" w14:textId="77777777" w:rsidR="005F737B" w:rsidRPr="00403C43" w:rsidRDefault="005F737B" w:rsidP="00D16417"/>
          <w:p w14:paraId="3BFD5711" w14:textId="60FAE25C" w:rsidR="005F737B" w:rsidRDefault="005F737B" w:rsidP="00D16417">
            <w:r w:rsidRPr="00DA6754">
              <w:t>of</w:t>
            </w:r>
          </w:p>
          <w:p w14:paraId="13CACECC" w14:textId="1E716041" w:rsidR="0094705D" w:rsidRDefault="0094705D" w:rsidP="00D16417"/>
          <w:p w14:paraId="0101E9B7" w14:textId="4E8113EB" w:rsidR="005F737B" w:rsidRPr="00DA6754" w:rsidRDefault="0093355A" w:rsidP="00294793">
            <w:r>
              <w:t>Halifax America LLC</w:t>
            </w:r>
          </w:p>
          <w:p w14:paraId="7998A904" w14:textId="77777777" w:rsidR="005F737B" w:rsidRPr="00DA6754" w:rsidRDefault="005F737B" w:rsidP="00D16417">
            <w:pPr>
              <w:jc w:val="center"/>
            </w:pPr>
          </w:p>
          <w:p w14:paraId="7098FD14" w14:textId="77777777" w:rsidR="005F737B" w:rsidRPr="00DA6754" w:rsidRDefault="005F737B" w:rsidP="00D16417">
            <w:r w:rsidRPr="00DA6754">
              <w:t>with</w:t>
            </w:r>
          </w:p>
          <w:p w14:paraId="3831E792" w14:textId="77777777" w:rsidR="005F737B" w:rsidRPr="00DA6754" w:rsidRDefault="005F737B" w:rsidP="00D16417"/>
          <w:p w14:paraId="6D8D96E4" w14:textId="77777777" w:rsidR="005F737B" w:rsidRPr="00DA6754" w:rsidRDefault="005F737B" w:rsidP="00D16417">
            <w:r w:rsidRPr="00DA6754">
              <w:t>FINRA</w:t>
            </w:r>
          </w:p>
        </w:tc>
        <w:tc>
          <w:tcPr>
            <w:tcW w:w="4680" w:type="dxa"/>
            <w:tcBorders>
              <w:top w:val="single" w:sz="6" w:space="0" w:color="FFFFFF"/>
              <w:left w:val="single" w:sz="6" w:space="0" w:color="FFFFFF"/>
              <w:bottom w:val="single" w:sz="6" w:space="0" w:color="FFFFFF"/>
              <w:right w:val="single" w:sz="6" w:space="0" w:color="FFFFFF"/>
            </w:tcBorders>
          </w:tcPr>
          <w:p w14:paraId="6BE29446" w14:textId="77777777" w:rsidR="005F737B" w:rsidRPr="00DA6754" w:rsidRDefault="005F737B" w:rsidP="00D16417"/>
          <w:p w14:paraId="6E5F2D8C" w14:textId="0C1D9494" w:rsidR="005F737B" w:rsidRPr="00DA6754" w:rsidRDefault="005F737B" w:rsidP="00D16417">
            <w:r w:rsidRPr="00DA6754">
              <w:rPr>
                <w:u w:val="single"/>
              </w:rPr>
              <w:t>Notice Pursuant to</w:t>
            </w:r>
          </w:p>
          <w:p w14:paraId="54635842" w14:textId="77777777" w:rsidR="005F737B" w:rsidRPr="00DA6754" w:rsidRDefault="005F737B" w:rsidP="00D16417">
            <w:r w:rsidRPr="00DA6754">
              <w:rPr>
                <w:u w:val="single"/>
              </w:rPr>
              <w:t>Rule 19h-1</w:t>
            </w:r>
          </w:p>
          <w:p w14:paraId="023DB452" w14:textId="77777777" w:rsidR="005F737B" w:rsidRPr="00DA6754" w:rsidRDefault="005F737B" w:rsidP="00D16417">
            <w:r w:rsidRPr="00DA6754">
              <w:rPr>
                <w:u w:val="single"/>
              </w:rPr>
              <w:t>Securities Exchange Act</w:t>
            </w:r>
          </w:p>
          <w:p w14:paraId="143B6730" w14:textId="77777777" w:rsidR="005F737B" w:rsidRPr="00DA6754" w:rsidRDefault="005F737B" w:rsidP="00D16417">
            <w:r w:rsidRPr="00DA6754">
              <w:rPr>
                <w:u w:val="single"/>
              </w:rPr>
              <w:t>of 1934</w:t>
            </w:r>
          </w:p>
          <w:p w14:paraId="45F25529" w14:textId="77777777" w:rsidR="005F737B" w:rsidRPr="00DA6754" w:rsidRDefault="005F737B" w:rsidP="00D16417"/>
          <w:p w14:paraId="7CB9E3A0" w14:textId="3930C423" w:rsidR="005F737B" w:rsidRPr="00DA6754" w:rsidRDefault="005F737B" w:rsidP="00D16417">
            <w:pPr>
              <w:pStyle w:val="Heading9"/>
              <w:jc w:val="left"/>
              <w:rPr>
                <w:szCs w:val="24"/>
              </w:rPr>
            </w:pPr>
            <w:r w:rsidRPr="00DA6754">
              <w:rPr>
                <w:szCs w:val="24"/>
              </w:rPr>
              <w:t>SD-</w:t>
            </w:r>
            <w:r>
              <w:rPr>
                <w:szCs w:val="24"/>
              </w:rPr>
              <w:t>2</w:t>
            </w:r>
            <w:r w:rsidR="00294793">
              <w:rPr>
                <w:szCs w:val="24"/>
              </w:rPr>
              <w:t>3</w:t>
            </w:r>
            <w:r w:rsidR="0093355A">
              <w:rPr>
                <w:szCs w:val="24"/>
              </w:rPr>
              <w:t>1</w:t>
            </w:r>
            <w:r w:rsidR="00294793">
              <w:rPr>
                <w:szCs w:val="24"/>
              </w:rPr>
              <w:t>5</w:t>
            </w:r>
          </w:p>
          <w:p w14:paraId="025E7A3F" w14:textId="77777777" w:rsidR="005F737B" w:rsidRPr="00DA6754" w:rsidRDefault="005F737B" w:rsidP="00D16417"/>
          <w:p w14:paraId="7D8485F2" w14:textId="7A336B84" w:rsidR="005F737B" w:rsidRPr="004B2440" w:rsidRDefault="005F737B" w:rsidP="001A7F96">
            <w:pPr>
              <w:spacing w:after="14"/>
              <w:rPr>
                <w:bCs/>
              </w:rPr>
            </w:pPr>
            <w:r w:rsidRPr="004B2440">
              <w:rPr>
                <w:bCs/>
              </w:rPr>
              <w:t xml:space="preserve">Date: </w:t>
            </w:r>
            <w:r>
              <w:rPr>
                <w:bCs/>
              </w:rPr>
              <w:t xml:space="preserve"> </w:t>
            </w:r>
            <w:r w:rsidR="0063369E">
              <w:rPr>
                <w:bCs/>
              </w:rPr>
              <w:t xml:space="preserve">September </w:t>
            </w:r>
            <w:r w:rsidR="00852129">
              <w:rPr>
                <w:bCs/>
              </w:rPr>
              <w:t>15</w:t>
            </w:r>
            <w:r>
              <w:rPr>
                <w:bCs/>
              </w:rPr>
              <w:t>,</w:t>
            </w:r>
            <w:r w:rsidRPr="004B2440">
              <w:rPr>
                <w:bCs/>
              </w:rPr>
              <w:t xml:space="preserve"> 20</w:t>
            </w:r>
            <w:r w:rsidR="00294793">
              <w:rPr>
                <w:bCs/>
              </w:rPr>
              <w:t>23</w:t>
            </w:r>
          </w:p>
        </w:tc>
      </w:tr>
    </w:tbl>
    <w:p w14:paraId="79D364B0" w14:textId="77777777" w:rsidR="0094705D" w:rsidRDefault="0094705D" w:rsidP="0094705D"/>
    <w:p w14:paraId="6259B5C2" w14:textId="77777777" w:rsidR="002E56CF" w:rsidRPr="00B941BA" w:rsidRDefault="0053000A" w:rsidP="00E067D7">
      <w:pPr>
        <w:pStyle w:val="ListParagraph"/>
        <w:numPr>
          <w:ilvl w:val="0"/>
          <w:numId w:val="1"/>
        </w:numPr>
        <w:ind w:left="720"/>
        <w:rPr>
          <w:b/>
          <w:bCs/>
        </w:rPr>
      </w:pPr>
      <w:r w:rsidRPr="00B941BA">
        <w:rPr>
          <w:b/>
          <w:bCs/>
        </w:rPr>
        <w:t>Introduction</w:t>
      </w:r>
    </w:p>
    <w:p w14:paraId="269EBEB3" w14:textId="77777777" w:rsidR="0053000A" w:rsidRPr="00B941BA" w:rsidRDefault="00885149" w:rsidP="00D210A6">
      <w:pPr>
        <w:tabs>
          <w:tab w:val="left" w:pos="1545"/>
        </w:tabs>
        <w:rPr>
          <w:b/>
          <w:bCs/>
        </w:rPr>
      </w:pPr>
      <w:r w:rsidRPr="00B941BA">
        <w:rPr>
          <w:b/>
          <w:bCs/>
        </w:rPr>
        <w:tab/>
      </w:r>
    </w:p>
    <w:p w14:paraId="3306B018" w14:textId="3B3FD4DA" w:rsidR="000D1CA0" w:rsidRPr="00DA6754" w:rsidRDefault="00DD2111" w:rsidP="00D210A6">
      <w:pPr>
        <w:ind w:firstLine="720"/>
      </w:pPr>
      <w:r w:rsidRPr="00B212C3">
        <w:t xml:space="preserve">On </w:t>
      </w:r>
      <w:r w:rsidR="00DE6E73">
        <w:t>January 21, 2022</w:t>
      </w:r>
      <w:r w:rsidR="000C309B">
        <w:t xml:space="preserve">, </w:t>
      </w:r>
      <w:r w:rsidR="00DE6E73">
        <w:t>Halifax America LLC</w:t>
      </w:r>
      <w:r w:rsidR="00294793">
        <w:t xml:space="preserve"> (</w:t>
      </w:r>
      <w:r w:rsidRPr="00B212C3">
        <w:t xml:space="preserve">the “Firm”) </w:t>
      </w:r>
      <w:r w:rsidR="00751561" w:rsidRPr="00B941BA">
        <w:t xml:space="preserve">submitted </w:t>
      </w:r>
      <w:r w:rsidR="0094705D">
        <w:t xml:space="preserve">to FINRA </w:t>
      </w:r>
      <w:r w:rsidR="00751561" w:rsidRPr="00B941BA">
        <w:t>a Membership Continuance Application (“MC-400A” or “</w:t>
      </w:r>
      <w:r w:rsidR="00311F46">
        <w:t xml:space="preserve">the </w:t>
      </w:r>
      <w:r w:rsidR="00751561" w:rsidRPr="00B941BA">
        <w:t>Application”).</w:t>
      </w:r>
      <w:r w:rsidR="000D1CA0">
        <w:t xml:space="preserve"> </w:t>
      </w:r>
      <w:r w:rsidR="00751561" w:rsidRPr="00B941BA">
        <w:t xml:space="preserve"> </w:t>
      </w:r>
      <w:r w:rsidR="00C40C5E">
        <w:t>T</w:t>
      </w:r>
      <w:r w:rsidR="00751561" w:rsidRPr="00B941BA">
        <w:t>he Application seeks to permit the Firm, a FINRA member subject to a statutory disqualification, to continue its membership with FINRA.</w:t>
      </w:r>
      <w:r w:rsidR="000D1CA0">
        <w:t xml:space="preserve"> </w:t>
      </w:r>
      <w:r w:rsidR="00591040" w:rsidRPr="00B941BA">
        <w:t xml:space="preserve"> </w:t>
      </w:r>
      <w:bookmarkStart w:id="0" w:name="_Hlk66864403"/>
      <w:r w:rsidR="00751561" w:rsidRPr="00B941BA">
        <w:t>A hear</w:t>
      </w:r>
      <w:r w:rsidR="000D1CA0">
        <w:t xml:space="preserve">ing was not held in this matter. </w:t>
      </w:r>
      <w:r w:rsidR="00751561" w:rsidRPr="00B941BA">
        <w:t xml:space="preserve"> </w:t>
      </w:r>
      <w:r w:rsidR="000D1CA0" w:rsidRPr="00DA6754">
        <w:t xml:space="preserve">Rather, pursuant to FINRA Rule 9523(a), FINRA’s Department of Member </w:t>
      </w:r>
      <w:r>
        <w:t>Supervision</w:t>
      </w:r>
      <w:r w:rsidR="00350209">
        <w:t xml:space="preserve"> </w:t>
      </w:r>
      <w:r w:rsidR="000D1CA0" w:rsidRPr="00DA6754">
        <w:t xml:space="preserve">(“Member </w:t>
      </w:r>
      <w:r>
        <w:t>Supervision</w:t>
      </w:r>
      <w:r w:rsidR="000D1CA0" w:rsidRPr="00DA6754">
        <w:t>”) recommend</w:t>
      </w:r>
      <w:r w:rsidR="000E3C39">
        <w:t>ed</w:t>
      </w:r>
      <w:r w:rsidR="000D1CA0" w:rsidRPr="00DA6754">
        <w:t xml:space="preserve"> that the Chair</w:t>
      </w:r>
      <w:r w:rsidR="00311F46">
        <w:t>person</w:t>
      </w:r>
      <w:r w:rsidR="000D1CA0" w:rsidRPr="00DA6754">
        <w:t xml:space="preserve"> of the Statutory Disqualification Committee, acting on behalf of the National Adjudicatory Council, approve the Firm’s continued membership with FINRA pursuant to the terms and conditions set forth below.</w:t>
      </w:r>
    </w:p>
    <w:bookmarkEnd w:id="0"/>
    <w:p w14:paraId="229E651C" w14:textId="77777777" w:rsidR="000D1CA0" w:rsidRDefault="000D1CA0" w:rsidP="00D210A6">
      <w:pPr>
        <w:ind w:firstLine="720"/>
      </w:pPr>
    </w:p>
    <w:p w14:paraId="3199953A" w14:textId="5F30BDA5" w:rsidR="000D1CA0" w:rsidRDefault="000D1CA0" w:rsidP="00D210A6">
      <w:pPr>
        <w:pStyle w:val="BodyTextIndent2"/>
      </w:pPr>
      <w:r>
        <w:t>For the reasons explained below, we approve the Application.</w:t>
      </w:r>
      <w:r w:rsidR="0076536C" w:rsidRPr="0076536C">
        <w:rPr>
          <w:b/>
          <w:bCs/>
          <w:color w:val="080808"/>
        </w:rPr>
        <w:t xml:space="preserve"> </w:t>
      </w:r>
      <w:r w:rsidR="0076536C">
        <w:rPr>
          <w:b/>
          <w:bCs/>
          <w:color w:val="080808"/>
        </w:rPr>
        <w:t xml:space="preserve"> </w:t>
      </w:r>
    </w:p>
    <w:p w14:paraId="6BFE926E" w14:textId="77777777" w:rsidR="00534D6A" w:rsidRDefault="00534D6A" w:rsidP="00D210A6">
      <w:pPr>
        <w:pStyle w:val="BodyTextIndent2"/>
      </w:pPr>
    </w:p>
    <w:p w14:paraId="2044874A" w14:textId="77777777" w:rsidR="002B7FC0" w:rsidRDefault="002B7FC0" w:rsidP="00D210A6">
      <w:pPr>
        <w:ind w:left="720" w:hanging="720"/>
        <w:outlineLvl w:val="0"/>
        <w:rPr>
          <w:b/>
        </w:rPr>
      </w:pPr>
      <w:r w:rsidRPr="00B941BA">
        <w:rPr>
          <w:b/>
        </w:rPr>
        <w:t xml:space="preserve">II. </w:t>
      </w:r>
      <w:r w:rsidRPr="00B941BA">
        <w:rPr>
          <w:b/>
        </w:rPr>
        <w:tab/>
        <w:t>The Statutorily Disqualifying Event</w:t>
      </w:r>
    </w:p>
    <w:p w14:paraId="0006E925" w14:textId="77777777" w:rsidR="000D1CA0" w:rsidRPr="00B941BA" w:rsidRDefault="000D1CA0" w:rsidP="00D210A6">
      <w:pPr>
        <w:ind w:left="720" w:hanging="720"/>
        <w:outlineLvl w:val="0"/>
        <w:rPr>
          <w:b/>
        </w:rPr>
      </w:pPr>
    </w:p>
    <w:p w14:paraId="2946D4D7" w14:textId="6EEAF113" w:rsidR="00C50234" w:rsidRDefault="001D0836" w:rsidP="00C50234">
      <w:pPr>
        <w:ind w:firstLine="720"/>
        <w:rPr>
          <w:bCs/>
        </w:rPr>
      </w:pPr>
      <w:r w:rsidRPr="00083F93">
        <w:t>Th</w:t>
      </w:r>
      <w:r>
        <w:t>e Firm</w:t>
      </w:r>
      <w:r w:rsidRPr="00B941BA">
        <w:rPr>
          <w:color w:val="080808"/>
        </w:rPr>
        <w:t xml:space="preserve"> is subject to a statutory disqualification </w:t>
      </w:r>
      <w:r>
        <w:rPr>
          <w:color w:val="080808"/>
        </w:rPr>
        <w:t xml:space="preserve">because </w:t>
      </w:r>
      <w:r w:rsidRPr="00B941BA">
        <w:rPr>
          <w:color w:val="080808"/>
        </w:rPr>
        <w:t>of</w:t>
      </w:r>
      <w:r>
        <w:rPr>
          <w:color w:val="080808"/>
        </w:rPr>
        <w:t xml:space="preserve"> a </w:t>
      </w:r>
      <w:r w:rsidR="00854F22">
        <w:t>December 7, 2021 decision issued by the National Future</w:t>
      </w:r>
      <w:r w:rsidR="00083F93">
        <w:t>s</w:t>
      </w:r>
      <w:r w:rsidR="00854F22">
        <w:t xml:space="preserve"> Association </w:t>
      </w:r>
      <w:r>
        <w:t>(the “</w:t>
      </w:r>
      <w:r w:rsidR="00854F22">
        <w:t>Disqualifying Decision”).  Pursuant to the Disqualifying Decision, the Firm</w:t>
      </w:r>
      <w:r>
        <w:t xml:space="preserve"> </w:t>
      </w:r>
      <w:r w:rsidR="00854F22">
        <w:t>was ordered not to reapply for membership in the National Future</w:t>
      </w:r>
      <w:r w:rsidR="00083F93">
        <w:t>s</w:t>
      </w:r>
      <w:r w:rsidR="00854F22">
        <w:t xml:space="preserve"> Association (“NFA”) or to be listed </w:t>
      </w:r>
      <w:r w:rsidR="00316FFD">
        <w:t xml:space="preserve">or act </w:t>
      </w:r>
      <w:r w:rsidR="00854F22">
        <w:t>as a principal of any NFA member.</w:t>
      </w:r>
      <w:r w:rsidRPr="00DA6754">
        <w:rPr>
          <w:rStyle w:val="FootnoteReference"/>
        </w:rPr>
        <w:footnoteReference w:id="2"/>
      </w:r>
      <w:r>
        <w:rPr>
          <w:color w:val="080808"/>
        </w:rPr>
        <w:t xml:space="preserve">  </w:t>
      </w:r>
      <w:r w:rsidR="00C50234">
        <w:rPr>
          <w:color w:val="080808"/>
        </w:rPr>
        <w:t>T</w:t>
      </w:r>
      <w:r>
        <w:rPr>
          <w:color w:val="080808"/>
        </w:rPr>
        <w:t xml:space="preserve">he </w:t>
      </w:r>
      <w:r w:rsidR="00C50234">
        <w:rPr>
          <w:color w:val="080808"/>
        </w:rPr>
        <w:t>Disqualifying Decision was based on a complaint filed by the NFA against the Firm, Devin D. Brady (“Brady”)</w:t>
      </w:r>
      <w:r w:rsidR="00EE7EAF">
        <w:rPr>
          <w:color w:val="080808"/>
        </w:rPr>
        <w:t xml:space="preserve"> (the Firm’s chief executive officer (“CEO”))</w:t>
      </w:r>
      <w:r w:rsidR="00C50234">
        <w:rPr>
          <w:color w:val="080808"/>
        </w:rPr>
        <w:t>, and another individual</w:t>
      </w:r>
      <w:r w:rsidR="00EE7EAF">
        <w:rPr>
          <w:color w:val="080808"/>
        </w:rPr>
        <w:t xml:space="preserve"> </w:t>
      </w:r>
      <w:r w:rsidR="00573611">
        <w:rPr>
          <w:color w:val="080808"/>
        </w:rPr>
        <w:t>not registered with FINRA (</w:t>
      </w:r>
      <w:r w:rsidR="00EE7EAF">
        <w:rPr>
          <w:color w:val="080808"/>
        </w:rPr>
        <w:t>“Individual 1”)</w:t>
      </w:r>
      <w:r w:rsidR="00C50234">
        <w:rPr>
          <w:color w:val="080808"/>
        </w:rPr>
        <w:t xml:space="preserve">.  </w:t>
      </w:r>
      <w:r w:rsidR="00EE7EAF">
        <w:rPr>
          <w:color w:val="080808"/>
        </w:rPr>
        <w:t xml:space="preserve">The NFA alleged that Individual 1, while working for the Firm’s NFA-regulated business, aided another individual who was subject to a two-year suspension from NFA membership in participating in activities requiring NFA registration.  The NFA’s </w:t>
      </w:r>
      <w:r w:rsidR="00EE7EAF">
        <w:rPr>
          <w:color w:val="080808"/>
        </w:rPr>
        <w:lastRenderedPageBreak/>
        <w:t>complaint further alleged that Brady was responsible for supervising Individual 1.  It further alleged that the Firm was liable for violations of NFA rules committed by Brady as the Firm’s CEO.</w:t>
      </w:r>
      <w:r w:rsidR="00EE7EAF">
        <w:rPr>
          <w:rStyle w:val="FootnoteReference"/>
          <w:color w:val="080808"/>
        </w:rPr>
        <w:footnoteReference w:id="3"/>
      </w:r>
      <w:r w:rsidR="00EE7EAF">
        <w:rPr>
          <w:color w:val="080808"/>
        </w:rPr>
        <w:t xml:space="preserve">  </w:t>
      </w:r>
      <w:r w:rsidR="00573611">
        <w:rPr>
          <w:color w:val="080808"/>
        </w:rPr>
        <w:t>The Firm consented to entry of the Disqualifying Decision without admitting or denying the allegations in the complaint.</w:t>
      </w:r>
      <w:r w:rsidR="00D7559E">
        <w:rPr>
          <w:color w:val="080808"/>
        </w:rPr>
        <w:t xml:space="preserve"> </w:t>
      </w:r>
    </w:p>
    <w:p w14:paraId="284BCBE9" w14:textId="6EEF7328" w:rsidR="00A668ED" w:rsidRPr="00B941BA" w:rsidRDefault="006A6A34" w:rsidP="004F7CBF">
      <w:pPr>
        <w:overflowPunct w:val="0"/>
        <w:ind w:firstLine="720"/>
        <w:textAlignment w:val="baseline"/>
        <w:rPr>
          <w:color w:val="080808"/>
        </w:rPr>
      </w:pPr>
      <w:r>
        <w:rPr>
          <w:bCs/>
        </w:rPr>
        <w:t xml:space="preserve">   </w:t>
      </w:r>
    </w:p>
    <w:p w14:paraId="7EDA82CE" w14:textId="77777777" w:rsidR="002B7FC0" w:rsidRPr="00B941BA" w:rsidRDefault="002B7FC0" w:rsidP="00E562A6">
      <w:pPr>
        <w:keepNext/>
        <w:widowControl/>
        <w:rPr>
          <w:b/>
        </w:rPr>
      </w:pPr>
      <w:r w:rsidRPr="00B941BA">
        <w:rPr>
          <w:b/>
        </w:rPr>
        <w:t>II</w:t>
      </w:r>
      <w:r w:rsidR="007D77B3" w:rsidRPr="00B941BA">
        <w:rPr>
          <w:b/>
        </w:rPr>
        <w:t>I</w:t>
      </w:r>
      <w:r w:rsidRPr="00B941BA">
        <w:rPr>
          <w:b/>
        </w:rPr>
        <w:t xml:space="preserve">.  </w:t>
      </w:r>
      <w:r w:rsidRPr="00B941BA">
        <w:rPr>
          <w:b/>
        </w:rPr>
        <w:tab/>
        <w:t>Background Information</w:t>
      </w:r>
    </w:p>
    <w:p w14:paraId="1FD91EE3" w14:textId="77777777" w:rsidR="000A3A86" w:rsidRPr="00B941BA" w:rsidRDefault="000A3A86" w:rsidP="00E562A6">
      <w:pPr>
        <w:keepNext/>
        <w:widowControl/>
        <w:rPr>
          <w:b/>
          <w:u w:val="single"/>
        </w:rPr>
      </w:pPr>
    </w:p>
    <w:p w14:paraId="67829C4A" w14:textId="77777777" w:rsidR="002B7FC0" w:rsidRPr="00B941BA" w:rsidRDefault="002B7FC0" w:rsidP="00E067D7">
      <w:pPr>
        <w:pStyle w:val="ListParagraph"/>
        <w:keepNext/>
        <w:widowControl/>
        <w:numPr>
          <w:ilvl w:val="0"/>
          <w:numId w:val="2"/>
        </w:numPr>
        <w:ind w:left="1440" w:hanging="720"/>
        <w:rPr>
          <w:u w:val="single"/>
        </w:rPr>
      </w:pPr>
      <w:r w:rsidRPr="00B941BA">
        <w:rPr>
          <w:u w:val="single"/>
        </w:rPr>
        <w:t xml:space="preserve">The </w:t>
      </w:r>
      <w:r w:rsidR="00BF1F68" w:rsidRPr="00B941BA">
        <w:rPr>
          <w:u w:val="single"/>
        </w:rPr>
        <w:t>Firm</w:t>
      </w:r>
    </w:p>
    <w:p w14:paraId="18B2BB12" w14:textId="77777777" w:rsidR="00043232" w:rsidRPr="00B941BA" w:rsidRDefault="00043232" w:rsidP="00E562A6">
      <w:pPr>
        <w:keepNext/>
        <w:widowControl/>
        <w:outlineLvl w:val="0"/>
      </w:pPr>
    </w:p>
    <w:p w14:paraId="4E5E9776" w14:textId="77777777" w:rsidR="00D7559E" w:rsidRDefault="000412BA" w:rsidP="00D5071E">
      <w:pPr>
        <w:keepNext/>
        <w:widowControl/>
        <w:ind w:firstLine="720"/>
      </w:pPr>
      <w:r w:rsidRPr="005331B5">
        <w:t xml:space="preserve">The Firm is based in </w:t>
      </w:r>
      <w:r w:rsidR="005331B5">
        <w:t>Sherman Oaks</w:t>
      </w:r>
      <w:r w:rsidR="00D61652" w:rsidRPr="005331B5">
        <w:t xml:space="preserve">, </w:t>
      </w:r>
      <w:r w:rsidR="00A91CC6" w:rsidRPr="005331B5">
        <w:t xml:space="preserve">California </w:t>
      </w:r>
      <w:r w:rsidRPr="005331B5">
        <w:t xml:space="preserve">and has been a FINRA member since </w:t>
      </w:r>
      <w:r w:rsidR="00D5071E" w:rsidRPr="005331B5">
        <w:t>20</w:t>
      </w:r>
      <w:r w:rsidR="005331B5">
        <w:t>15</w:t>
      </w:r>
      <w:r w:rsidR="00D5071E" w:rsidRPr="005331B5">
        <w:t xml:space="preserve">.  </w:t>
      </w:r>
      <w:r w:rsidR="004E7CC8">
        <w:t xml:space="preserve">It describes its business as “servicing retail self-directed customers and [it] does not make trade recommendations to any of [its] customers.”  </w:t>
      </w:r>
      <w:r w:rsidR="00D7559E">
        <w:t>Halifax withdrew its NFA membership in 2019, although the NFA did not process the Firm’s request to withdraw its membership until 2021 because of its investigation into the misconduct underlying the Disqualifying Decision.</w:t>
      </w:r>
    </w:p>
    <w:p w14:paraId="074B249B" w14:textId="77777777" w:rsidR="00D7559E" w:rsidRDefault="00D7559E" w:rsidP="00D5071E">
      <w:pPr>
        <w:keepNext/>
        <w:widowControl/>
        <w:ind w:firstLine="720"/>
      </w:pPr>
    </w:p>
    <w:p w14:paraId="1BBF6281" w14:textId="11F5EFDD" w:rsidR="000412BA" w:rsidRDefault="002143B8" w:rsidP="00D5071E">
      <w:pPr>
        <w:keepNext/>
        <w:widowControl/>
        <w:ind w:firstLine="720"/>
      </w:pPr>
      <w:r w:rsidRPr="005331B5">
        <w:t xml:space="preserve">According to the Firm’s Central Registration Depository (“CRD”®) record, it has </w:t>
      </w:r>
      <w:r w:rsidR="005331B5">
        <w:t>one branch office</w:t>
      </w:r>
      <w:r w:rsidR="00D5071E" w:rsidRPr="005331B5">
        <w:t xml:space="preserve">, </w:t>
      </w:r>
      <w:r w:rsidRPr="005331B5">
        <w:t xml:space="preserve">which </w:t>
      </w:r>
      <w:r w:rsidR="005331B5">
        <w:t xml:space="preserve">is the Firm’s </w:t>
      </w:r>
      <w:r w:rsidR="00D61652" w:rsidRPr="005331B5">
        <w:t>Office</w:t>
      </w:r>
      <w:r w:rsidR="000412BA" w:rsidRPr="005331B5">
        <w:t xml:space="preserve"> of</w:t>
      </w:r>
      <w:r w:rsidR="00D61652" w:rsidRPr="005331B5">
        <w:t xml:space="preserve"> Supervisory Jurisdiction</w:t>
      </w:r>
      <w:r w:rsidR="000412BA" w:rsidRPr="005331B5">
        <w:t xml:space="preserve">.  </w:t>
      </w:r>
      <w:r w:rsidR="005331B5">
        <w:t>T</w:t>
      </w:r>
      <w:r w:rsidRPr="005331B5">
        <w:t xml:space="preserve">he Firm </w:t>
      </w:r>
      <w:r w:rsidR="000412BA" w:rsidRPr="005331B5">
        <w:t xml:space="preserve">employs </w:t>
      </w:r>
      <w:r w:rsidR="005331B5">
        <w:t>three</w:t>
      </w:r>
      <w:r w:rsidR="00A91CC6" w:rsidRPr="005331B5">
        <w:t xml:space="preserve"> registered</w:t>
      </w:r>
      <w:r w:rsidR="00474AED" w:rsidRPr="005331B5">
        <w:t xml:space="preserve"> </w:t>
      </w:r>
      <w:r w:rsidR="005331B5">
        <w:t>principals, and does not currently</w:t>
      </w:r>
      <w:r w:rsidR="00A91CC6" w:rsidRPr="005331B5">
        <w:t xml:space="preserve"> </w:t>
      </w:r>
      <w:r w:rsidR="00D5071E" w:rsidRPr="005331B5">
        <w:t>employ</w:t>
      </w:r>
      <w:r w:rsidR="005331B5">
        <w:t xml:space="preserve"> any</w:t>
      </w:r>
      <w:r w:rsidR="00D5071E" w:rsidRPr="005331B5">
        <w:t xml:space="preserve"> statutorily disqualified individual</w:t>
      </w:r>
      <w:r w:rsidR="005331B5">
        <w:t>s</w:t>
      </w:r>
      <w:r w:rsidR="00D5071E">
        <w:t>.</w:t>
      </w:r>
      <w:r w:rsidR="005331B5">
        <w:t xml:space="preserve">  Brady serves as the Firm’s CEO, chief compliance officer, anti-money laundering compliance officer, and financial and operations principal.  He is also the CEO and </w:t>
      </w:r>
      <w:r w:rsidR="00316FFD">
        <w:t xml:space="preserve">a </w:t>
      </w:r>
      <w:r w:rsidR="005331B5">
        <w:t>control person of Zytrade.</w:t>
      </w:r>
      <w:r w:rsidR="000412BA" w:rsidRPr="00B212C3">
        <w:t xml:space="preserve"> </w:t>
      </w:r>
    </w:p>
    <w:p w14:paraId="1832B4D9" w14:textId="77777777" w:rsidR="007B440B" w:rsidRDefault="007B440B" w:rsidP="001B74A0"/>
    <w:p w14:paraId="6C50B555" w14:textId="3DE64D91" w:rsidR="007E5288" w:rsidRPr="00B941BA" w:rsidRDefault="00640005" w:rsidP="00E067D7">
      <w:pPr>
        <w:pStyle w:val="ListParagraph"/>
        <w:numPr>
          <w:ilvl w:val="0"/>
          <w:numId w:val="2"/>
        </w:numPr>
        <w:ind w:left="1440" w:hanging="720"/>
        <w:outlineLvl w:val="0"/>
        <w:rPr>
          <w:u w:val="single"/>
        </w:rPr>
      </w:pPr>
      <w:r w:rsidRPr="00B941BA">
        <w:rPr>
          <w:u w:val="single"/>
        </w:rPr>
        <w:t>Examinations</w:t>
      </w:r>
      <w:r w:rsidR="00CE4D62">
        <w:rPr>
          <w:u w:val="single"/>
        </w:rPr>
        <w:t xml:space="preserve"> and Regulatory History</w:t>
      </w:r>
    </w:p>
    <w:p w14:paraId="6F49692C" w14:textId="77777777" w:rsidR="005D1058" w:rsidRPr="00B941BA" w:rsidRDefault="005D1058" w:rsidP="001B74A0"/>
    <w:p w14:paraId="1BD96113" w14:textId="473A9635" w:rsidR="00A2313A" w:rsidRPr="00A2313A" w:rsidRDefault="00BE2BCA" w:rsidP="00A2313A">
      <w:pPr>
        <w:pStyle w:val="BodyText"/>
        <w:keepNext/>
        <w:numPr>
          <w:ilvl w:val="0"/>
          <w:numId w:val="7"/>
        </w:numPr>
        <w:tabs>
          <w:tab w:val="left" w:pos="720"/>
        </w:tabs>
        <w:rPr>
          <w:u w:val="single"/>
        </w:rPr>
      </w:pPr>
      <w:r w:rsidRPr="00A2313A">
        <w:rPr>
          <w:u w:val="single"/>
        </w:rPr>
        <w:t>Examinations</w:t>
      </w:r>
    </w:p>
    <w:p w14:paraId="02051B9A" w14:textId="43D324AE" w:rsidR="00637F59" w:rsidRDefault="006754D8" w:rsidP="00FC1D11">
      <w:pPr>
        <w:pStyle w:val="BodyText"/>
        <w:widowControl/>
        <w:tabs>
          <w:tab w:val="left" w:pos="720"/>
        </w:tabs>
        <w:spacing w:after="240"/>
      </w:pPr>
      <w:r>
        <w:tab/>
      </w:r>
      <w:r w:rsidR="00637F59">
        <w:t xml:space="preserve">Since 2015, the Firm has been the subject of three routine examinations and seven non-routine examinations.  The most recent routine examinations, in 2020 and 2017, did not result in any exceptions.  Further, in connection with the Firm’s non-routine examinations, the Firm has not been issued any Cautionary Actions and has not been subject to any formal regulatory action by FINRA.  </w:t>
      </w:r>
    </w:p>
    <w:p w14:paraId="295FE5C2" w14:textId="67816711" w:rsidR="00025611" w:rsidRPr="00D61E14" w:rsidRDefault="00D61E14" w:rsidP="00D61E14">
      <w:pPr>
        <w:pStyle w:val="BodyText"/>
        <w:keepNext/>
        <w:numPr>
          <w:ilvl w:val="0"/>
          <w:numId w:val="7"/>
        </w:numPr>
        <w:tabs>
          <w:tab w:val="left" w:pos="720"/>
        </w:tabs>
        <w:spacing w:after="240"/>
        <w:rPr>
          <w:u w:val="single"/>
        </w:rPr>
      </w:pPr>
      <w:r w:rsidRPr="00D61E14">
        <w:rPr>
          <w:u w:val="single"/>
        </w:rPr>
        <w:lastRenderedPageBreak/>
        <w:t>Regulatory History</w:t>
      </w:r>
    </w:p>
    <w:p w14:paraId="2D2C674A" w14:textId="1BEECB1F" w:rsidR="00D67397" w:rsidRDefault="00CE4D62" w:rsidP="00637F59">
      <w:pPr>
        <w:ind w:firstLine="720"/>
      </w:pPr>
      <w:r>
        <w:rPr>
          <w:bCs/>
        </w:rPr>
        <w:t xml:space="preserve">Other than the </w:t>
      </w:r>
      <w:r w:rsidR="00637F59">
        <w:rPr>
          <w:bCs/>
        </w:rPr>
        <w:t xml:space="preserve">Disqualifying Decision, </w:t>
      </w:r>
      <w:r w:rsidR="00FF58E6">
        <w:rPr>
          <w:bCs/>
        </w:rPr>
        <w:t xml:space="preserve">the Firm is the subject of a </w:t>
      </w:r>
      <w:r w:rsidR="00637F59">
        <w:t>March 2019</w:t>
      </w:r>
      <w:r w:rsidR="00D67397">
        <w:t xml:space="preserve"> </w:t>
      </w:r>
      <w:r w:rsidR="00D67397" w:rsidRPr="008A4A85">
        <w:t>Letter of Acceptance, Waiver and Consent (“AWC”)</w:t>
      </w:r>
      <w:r w:rsidR="00D67397">
        <w:t xml:space="preserve"> </w:t>
      </w:r>
      <w:r w:rsidR="00BF036F">
        <w:t>addressing</w:t>
      </w:r>
      <w:r w:rsidR="00D67397">
        <w:t xml:space="preserve"> violations of </w:t>
      </w:r>
      <w:r w:rsidR="003A70CF">
        <w:t>FINRA Rules 1031, 1122, 2010, 2040, 3110, and 3310</w:t>
      </w:r>
      <w:r w:rsidR="00D67397">
        <w:t>.  Without admitting or denying the allegations, the Firm consented to findings that</w:t>
      </w:r>
      <w:r w:rsidR="003A70CF">
        <w:t>: (1)</w:t>
      </w:r>
      <w:r w:rsidR="00D67397">
        <w:t xml:space="preserve"> from </w:t>
      </w:r>
      <w:r w:rsidR="003A70CF">
        <w:t>December 2014 through May 2015,</w:t>
      </w:r>
      <w:r w:rsidR="00D67397">
        <w:t xml:space="preserve"> it </w:t>
      </w:r>
      <w:r w:rsidR="003A70CF">
        <w:t xml:space="preserve">made misstatements to FINRA in connection with its application for membership; (2) from May 2015 through October 2015, it permitted an unregistered person to engage in securities business; (3) in January and February 2016, it made two payments totaling approximately $4,460 to an unregistered entity; (4) from October 2015 through February 2016, it failed to establish, maintain, and enforce a supervisory system (including written supervisory procedures) reasonably designed to review trading activity in customer accounts; and (5) from May </w:t>
      </w:r>
      <w:r w:rsidR="00615E51">
        <w:t>through</w:t>
      </w:r>
      <w:r w:rsidR="003A70CF">
        <w:t xml:space="preserve"> November 2015, it failed to establish, document, and maintain a reasonable customer identification program.  FINRA</w:t>
      </w:r>
      <w:r w:rsidR="00D67397">
        <w:t xml:space="preserve"> </w:t>
      </w:r>
      <w:r w:rsidR="003A15C3">
        <w:t>censured the Firm and fined it $</w:t>
      </w:r>
      <w:r w:rsidR="003A70CF">
        <w:t>6</w:t>
      </w:r>
      <w:r w:rsidR="003A15C3">
        <w:t>0,000.</w:t>
      </w:r>
      <w:r w:rsidR="00BE5786">
        <w:rPr>
          <w:rStyle w:val="FootnoteReference"/>
        </w:rPr>
        <w:footnoteReference w:id="4"/>
      </w:r>
      <w:r w:rsidR="00D67397">
        <w:t xml:space="preserve"> </w:t>
      </w:r>
      <w:r w:rsidR="003A70CF">
        <w:t xml:space="preserve"> </w:t>
      </w:r>
    </w:p>
    <w:p w14:paraId="18D8A017" w14:textId="77777777" w:rsidR="00D67397" w:rsidRDefault="00D67397" w:rsidP="0004222B">
      <w:pPr>
        <w:ind w:firstLine="720"/>
      </w:pPr>
    </w:p>
    <w:p w14:paraId="00ED9E26" w14:textId="2254F2D3" w:rsidR="002B7FC0" w:rsidRPr="00B941BA" w:rsidRDefault="002B7FC0" w:rsidP="00D210A6">
      <w:pPr>
        <w:keepNext/>
        <w:widowControl/>
        <w:ind w:left="720" w:hanging="720"/>
        <w:outlineLvl w:val="0"/>
        <w:rPr>
          <w:b/>
        </w:rPr>
      </w:pPr>
      <w:r w:rsidRPr="00B941BA">
        <w:rPr>
          <w:b/>
        </w:rPr>
        <w:t xml:space="preserve">IV. </w:t>
      </w:r>
      <w:r w:rsidRPr="00B941BA">
        <w:rPr>
          <w:b/>
        </w:rPr>
        <w:tab/>
      </w:r>
      <w:r w:rsidR="001977C6" w:rsidRPr="00B941BA">
        <w:rPr>
          <w:b/>
        </w:rPr>
        <w:t xml:space="preserve">The Firm’s Proposed Continued Membership with FINRA and Proposed </w:t>
      </w:r>
      <w:r w:rsidR="009128BB">
        <w:rPr>
          <w:b/>
        </w:rPr>
        <w:t xml:space="preserve">Plan of Heightened </w:t>
      </w:r>
      <w:r w:rsidR="0022416C" w:rsidRPr="00B941BA">
        <w:rPr>
          <w:b/>
        </w:rPr>
        <w:t>Super</w:t>
      </w:r>
      <w:r w:rsidR="009128BB">
        <w:rPr>
          <w:b/>
        </w:rPr>
        <w:t xml:space="preserve">vision </w:t>
      </w:r>
      <w:r w:rsidRPr="00B941BA">
        <w:rPr>
          <w:b/>
        </w:rPr>
        <w:t xml:space="preserve"> </w:t>
      </w:r>
    </w:p>
    <w:p w14:paraId="7039EE43" w14:textId="77777777" w:rsidR="00EE3ACF" w:rsidRDefault="00EE3ACF" w:rsidP="00D210A6">
      <w:pPr>
        <w:keepNext/>
        <w:widowControl/>
        <w:ind w:firstLine="360"/>
        <w:outlineLvl w:val="0"/>
      </w:pPr>
    </w:p>
    <w:p w14:paraId="408B5748" w14:textId="58589AAA" w:rsidR="00467D6E" w:rsidRDefault="007175B4" w:rsidP="00467D6E">
      <w:pPr>
        <w:keepNext/>
        <w:widowControl/>
      </w:pPr>
      <w:r>
        <w:rPr>
          <w:color w:val="000000"/>
        </w:rPr>
        <w:tab/>
      </w:r>
      <w:r w:rsidR="00F3767A">
        <w:t xml:space="preserve">The Firm </w:t>
      </w:r>
      <w:r w:rsidR="00F3767A" w:rsidRPr="00B212C3">
        <w:t xml:space="preserve">seeks to continue its membership with FINRA notwithstanding the </w:t>
      </w:r>
      <w:r w:rsidR="00615E51">
        <w:t>Disqualifying Decision</w:t>
      </w:r>
      <w:r w:rsidR="005A05B3">
        <w:t>, which renders the Firm statutorily disqualified</w:t>
      </w:r>
      <w:r w:rsidR="00F3767A" w:rsidRPr="00B212C3">
        <w:t>.</w:t>
      </w:r>
      <w:r w:rsidR="00F3767A">
        <w:t xml:space="preserve"> </w:t>
      </w:r>
      <w:r w:rsidR="00F3767A" w:rsidRPr="00B212C3">
        <w:t xml:space="preserve"> </w:t>
      </w:r>
      <w:r w:rsidR="0045741F">
        <w:t>T</w:t>
      </w:r>
      <w:r w:rsidR="00E40612">
        <w:t xml:space="preserve">he Firm </w:t>
      </w:r>
      <w:r w:rsidR="00F3767A" w:rsidRPr="00B212C3">
        <w:t xml:space="preserve">has </w:t>
      </w:r>
      <w:r w:rsidR="0045741F">
        <w:t xml:space="preserve">therefore </w:t>
      </w:r>
      <w:r w:rsidR="00F3767A" w:rsidRPr="00B212C3">
        <w:t xml:space="preserve">agreed to the following </w:t>
      </w:r>
      <w:r w:rsidR="00D74ED8">
        <w:t>P</w:t>
      </w:r>
      <w:r w:rsidR="00F3767A" w:rsidRPr="00B212C3">
        <w:t xml:space="preserve">lan of </w:t>
      </w:r>
      <w:r w:rsidR="00D74ED8">
        <w:t>Heightened S</w:t>
      </w:r>
      <w:r w:rsidR="00F3767A" w:rsidRPr="00B212C3">
        <w:t>upervision</w:t>
      </w:r>
      <w:r w:rsidR="00E40612">
        <w:t xml:space="preserve"> </w:t>
      </w:r>
      <w:r w:rsidR="00F3767A" w:rsidRPr="00B212C3">
        <w:t>as a condition of its continued membership with FINRA</w:t>
      </w:r>
      <w:r w:rsidR="00467D6E">
        <w:t>:</w:t>
      </w:r>
    </w:p>
    <w:p w14:paraId="30CCB13B" w14:textId="77777777" w:rsidR="00467D6E" w:rsidRDefault="00467D6E" w:rsidP="00467D6E">
      <w:pPr>
        <w:keepNext/>
        <w:widowControl/>
      </w:pPr>
    </w:p>
    <w:p w14:paraId="00D21125" w14:textId="62E9AC4D" w:rsidR="00467D6E" w:rsidRDefault="00467D6E" w:rsidP="00FC1D11">
      <w:pPr>
        <w:pStyle w:val="ListParagraph"/>
        <w:numPr>
          <w:ilvl w:val="0"/>
          <w:numId w:val="8"/>
        </w:numPr>
        <w:tabs>
          <w:tab w:val="left" w:pos="90"/>
        </w:tabs>
        <w:ind w:left="1080" w:right="720"/>
        <w:jc w:val="both"/>
      </w:pPr>
      <w:r w:rsidRPr="00DA43C1">
        <w:t xml:space="preserve">The Firm must comply with </w:t>
      </w:r>
      <w:r w:rsidRPr="00FD447D">
        <w:t xml:space="preserve">the restrictions from acting in a </w:t>
      </w:r>
      <w:r>
        <w:t>p</w:t>
      </w:r>
      <w:r w:rsidRPr="00FD447D">
        <w:t xml:space="preserve">rincipal </w:t>
      </w:r>
      <w:r>
        <w:t>c</w:t>
      </w:r>
      <w:r w:rsidRPr="00FD447D">
        <w:t>apacity and</w:t>
      </w:r>
      <w:r>
        <w:t xml:space="preserve"> </w:t>
      </w:r>
      <w:r w:rsidRPr="00FD447D">
        <w:t>reapplying for NFA membership as</w:t>
      </w:r>
      <w:r>
        <w:t xml:space="preserve"> </w:t>
      </w:r>
      <w:r w:rsidRPr="00DA43C1">
        <w:t xml:space="preserve">specified in the </w:t>
      </w:r>
      <w:r>
        <w:t xml:space="preserve">Disqualifying Decision, </w:t>
      </w:r>
      <w:r w:rsidRPr="00294144">
        <w:rPr>
          <w:i/>
          <w:iCs/>
        </w:rPr>
        <w:t>In the Matter of Halifax America,</w:t>
      </w:r>
      <w:r>
        <w:rPr>
          <w:i/>
          <w:iCs/>
        </w:rPr>
        <w:t xml:space="preserve"> et al.</w:t>
      </w:r>
      <w:r>
        <w:t xml:space="preserve">, NFA Case No. 21-BCC-012 (Dec. 7, 2021) and the corresponding side letter entered into by Brady, which is incorporated by reference.   </w:t>
      </w:r>
    </w:p>
    <w:p w14:paraId="15E857B0" w14:textId="77777777" w:rsidR="00467D6E" w:rsidRPr="00A76959" w:rsidRDefault="00467D6E" w:rsidP="00FC1D11">
      <w:pPr>
        <w:pStyle w:val="ListParagraph"/>
        <w:tabs>
          <w:tab w:val="left" w:pos="90"/>
        </w:tabs>
        <w:ind w:left="1080" w:right="720"/>
        <w:jc w:val="both"/>
      </w:pPr>
    </w:p>
    <w:p w14:paraId="0D78CAF7" w14:textId="1D6E8E38" w:rsidR="00467D6E" w:rsidRDefault="00467D6E" w:rsidP="00FC1D11">
      <w:pPr>
        <w:pStyle w:val="ListParagraph"/>
        <w:numPr>
          <w:ilvl w:val="0"/>
          <w:numId w:val="8"/>
        </w:numPr>
        <w:tabs>
          <w:tab w:val="left" w:pos="90"/>
        </w:tabs>
        <w:ind w:left="1080" w:right="720"/>
        <w:jc w:val="both"/>
      </w:pPr>
      <w:r w:rsidRPr="003E7A29">
        <w:t>The Firm will implement a mandatory annual training for all FINRA registered persons.</w:t>
      </w:r>
      <w:r>
        <w:t xml:space="preserve"> </w:t>
      </w:r>
      <w:r w:rsidRPr="003E7A29">
        <w:t xml:space="preserve"> The annual training will </w:t>
      </w:r>
      <w:r>
        <w:t xml:space="preserve">specifically </w:t>
      </w:r>
      <w:r w:rsidRPr="003E7A29">
        <w:t xml:space="preserve">cover securities rules and regulations surrounding </w:t>
      </w:r>
      <w:r>
        <w:t xml:space="preserve">registrations required for any line of business that the Firm participates in as well as the Firm’s policies prohibiting representatives from facilitating the unregistered activities of a third party.  The Firm will maintain documentation of the content and individual completion of such trainings in a segregated file for ease of review by FINRA staff during FINRA examinations. </w:t>
      </w:r>
      <w:r w:rsidR="004E7CC8">
        <w:t xml:space="preserve"> </w:t>
      </w:r>
    </w:p>
    <w:p w14:paraId="1C4A2C31" w14:textId="77777777" w:rsidR="00FC1D11" w:rsidRDefault="00FC1D11">
      <w:pPr>
        <w:widowControl/>
        <w:autoSpaceDE/>
        <w:autoSpaceDN/>
        <w:adjustRightInd/>
      </w:pPr>
      <w:r>
        <w:br w:type="page"/>
      </w:r>
    </w:p>
    <w:p w14:paraId="55F49497" w14:textId="55363989" w:rsidR="00467D6E" w:rsidRDefault="00467D6E" w:rsidP="00FC1D11">
      <w:pPr>
        <w:pStyle w:val="ListParagraph"/>
        <w:numPr>
          <w:ilvl w:val="0"/>
          <w:numId w:val="8"/>
        </w:numPr>
        <w:tabs>
          <w:tab w:val="left" w:pos="90"/>
        </w:tabs>
        <w:ind w:left="1080" w:right="720"/>
        <w:jc w:val="both"/>
      </w:pPr>
      <w:r>
        <w:t xml:space="preserve">The mandatory annual training for all FINRA registered </w:t>
      </w:r>
      <w:r w:rsidRPr="003F597F">
        <w:t>persons referenced in provision 2 above will be conducted initially within six months of the issuance of the SEC’s Letter of Acknowledgment (“LOA”) in this matter and then be conducted annually</w:t>
      </w:r>
      <w:r>
        <w:t xml:space="preserve"> for a term of five years from the date of the LOA.  Following that five-year term, the Firm will continue providing said training on a risk-based cadence determined by the Firm. </w:t>
      </w:r>
    </w:p>
    <w:p w14:paraId="22F54F2E" w14:textId="77777777" w:rsidR="00467D6E" w:rsidRPr="00294144" w:rsidRDefault="00467D6E" w:rsidP="00FC1D11">
      <w:pPr>
        <w:pStyle w:val="ListParagraph"/>
        <w:tabs>
          <w:tab w:val="left" w:pos="90"/>
        </w:tabs>
        <w:ind w:left="1080" w:right="720"/>
        <w:jc w:val="both"/>
      </w:pPr>
    </w:p>
    <w:p w14:paraId="37EB67E3" w14:textId="77777777" w:rsidR="00467D6E" w:rsidRDefault="00467D6E" w:rsidP="00FC1D11">
      <w:pPr>
        <w:pStyle w:val="ListParagraph"/>
        <w:numPr>
          <w:ilvl w:val="0"/>
          <w:numId w:val="8"/>
        </w:numPr>
        <w:tabs>
          <w:tab w:val="left" w:pos="90"/>
        </w:tabs>
        <w:ind w:left="1080" w:right="720"/>
        <w:jc w:val="both"/>
      </w:pPr>
      <w:r>
        <w:t xml:space="preserve">The Firm will not contribute any funds to any NFA member constituting 10 percent or more of that member’s capital. </w:t>
      </w:r>
    </w:p>
    <w:p w14:paraId="5CFD3093" w14:textId="77777777" w:rsidR="00467D6E" w:rsidRPr="00F90F49" w:rsidRDefault="00467D6E" w:rsidP="00FC1D11">
      <w:pPr>
        <w:pStyle w:val="ListParagraph"/>
        <w:tabs>
          <w:tab w:val="left" w:pos="90"/>
        </w:tabs>
        <w:ind w:left="1080" w:right="720"/>
        <w:jc w:val="both"/>
      </w:pPr>
    </w:p>
    <w:p w14:paraId="783D71AF" w14:textId="2256709A" w:rsidR="00467D6E" w:rsidRDefault="00467D6E" w:rsidP="00FC1D11">
      <w:pPr>
        <w:pStyle w:val="ListParagraph"/>
        <w:numPr>
          <w:ilvl w:val="0"/>
          <w:numId w:val="8"/>
        </w:numPr>
        <w:tabs>
          <w:tab w:val="left" w:pos="90"/>
        </w:tabs>
        <w:ind w:left="1080" w:right="720"/>
        <w:jc w:val="both"/>
      </w:pPr>
      <w:bookmarkStart w:id="1" w:name="_Hlk133870841"/>
      <w:r>
        <w:t>Should the Firm, including the Firm’s CEO or any other control person of the Firm, make a capital contribution to any NFA member,</w:t>
      </w:r>
      <w:r w:rsidRPr="00F90F49">
        <w:t xml:space="preserve"> </w:t>
      </w:r>
      <w:r>
        <w:t xml:space="preserve">the Firm’s Compliance Manager, </w:t>
      </w:r>
      <w:r w:rsidRPr="00F90F49">
        <w:t>Joseph Vartanian</w:t>
      </w:r>
      <w:r>
        <w:t xml:space="preserve">, must review documentation demonstrating the source of funds used for the contribution. The Firm will maintain documentation of this review in a segregated file for ease of review by FINRA staff during FINRA examinations. </w:t>
      </w:r>
      <w:bookmarkEnd w:id="1"/>
    </w:p>
    <w:p w14:paraId="683F3132" w14:textId="77777777" w:rsidR="00467D6E" w:rsidRPr="00A76959" w:rsidRDefault="00467D6E" w:rsidP="00FC1D11">
      <w:pPr>
        <w:pStyle w:val="ListParagraph"/>
        <w:tabs>
          <w:tab w:val="left" w:pos="90"/>
        </w:tabs>
        <w:ind w:left="1080" w:right="720"/>
        <w:jc w:val="both"/>
      </w:pPr>
    </w:p>
    <w:p w14:paraId="5B4F3749" w14:textId="1E762D6D" w:rsidR="00467D6E" w:rsidRDefault="00467D6E" w:rsidP="00FC1D11">
      <w:pPr>
        <w:pStyle w:val="ListParagraph"/>
        <w:numPr>
          <w:ilvl w:val="0"/>
          <w:numId w:val="8"/>
        </w:numPr>
        <w:tabs>
          <w:tab w:val="left" w:pos="90"/>
        </w:tabs>
        <w:ind w:left="1080" w:right="720"/>
        <w:jc w:val="both"/>
      </w:pPr>
      <w:r>
        <w:t xml:space="preserve">The Firm will conduct a review of the registrations held by each of its registered representatives no later than 30 days after the SEC’s LOA issuance in this matter to determine whether the registered individuals hold the appropriate registrations to participate in the lines of business that the Firm engages in.  The Firm will then complete the same review annually.  The Firm will maintain documentation of this review in a segregated file for ease of review by FINRA staff during FINRA examinations. </w:t>
      </w:r>
    </w:p>
    <w:p w14:paraId="0908C97C" w14:textId="77777777" w:rsidR="00467D6E" w:rsidRPr="00A76959" w:rsidRDefault="00467D6E" w:rsidP="00FC1D11">
      <w:pPr>
        <w:tabs>
          <w:tab w:val="left" w:pos="90"/>
        </w:tabs>
        <w:ind w:left="720" w:right="720"/>
        <w:jc w:val="both"/>
      </w:pPr>
    </w:p>
    <w:p w14:paraId="312644FB" w14:textId="43439A22" w:rsidR="00467D6E" w:rsidRPr="00EB401A" w:rsidRDefault="00467D6E" w:rsidP="00FC1D11">
      <w:pPr>
        <w:pStyle w:val="ListParagraph"/>
        <w:numPr>
          <w:ilvl w:val="0"/>
          <w:numId w:val="8"/>
        </w:numPr>
        <w:tabs>
          <w:tab w:val="left" w:pos="90"/>
        </w:tabs>
        <w:ind w:left="1080" w:right="720"/>
        <w:jc w:val="both"/>
      </w:pPr>
      <w:r w:rsidRPr="00EB401A">
        <w:t xml:space="preserve">The Firm must obtain prior approval from FINRA Member Supervision if it wishes to change any provision of this Plan. </w:t>
      </w:r>
      <w:r w:rsidR="004B5603">
        <w:t xml:space="preserve"> </w:t>
      </w:r>
      <w:r w:rsidRPr="00EB401A">
        <w:t>The Firm will submit any proposed changes or other requested information under this Plan to FINRA’s SD Group at SDMailbox@FINRA.org.</w:t>
      </w:r>
    </w:p>
    <w:p w14:paraId="4B616A82" w14:textId="77777777" w:rsidR="003A15C3" w:rsidRDefault="003A15C3" w:rsidP="00217D7D">
      <w:pPr>
        <w:pStyle w:val="BodyText"/>
        <w:widowControl/>
        <w:spacing w:after="0"/>
        <w:ind w:right="720" w:firstLine="720"/>
      </w:pPr>
    </w:p>
    <w:p w14:paraId="68F2BDCD" w14:textId="62E04A62" w:rsidR="00874C1B" w:rsidRPr="00741D09" w:rsidRDefault="0012141C" w:rsidP="00874C1B">
      <w:pPr>
        <w:pStyle w:val="BodyText"/>
        <w:widowControl/>
        <w:spacing w:after="0"/>
        <w:ind w:firstLine="720"/>
      </w:pPr>
      <w:r>
        <w:t xml:space="preserve">If the Firm’s request to continue its membership in FINRA is approved, </w:t>
      </w:r>
      <w:r w:rsidR="00874C1B" w:rsidRPr="00741D09">
        <w:t xml:space="preserve">Member Supervision represents that FINRA intends to utilize its examination and surveillance processes to assess the Firm’s continued compliance with the standards prescribed by Exchange Act Rule 19h-1 and FINRA Rule 9523.  </w:t>
      </w:r>
    </w:p>
    <w:p w14:paraId="3C4DFFF5" w14:textId="77777777" w:rsidR="00874C1B" w:rsidRDefault="00874C1B" w:rsidP="00E562A6">
      <w:pPr>
        <w:keepNext/>
        <w:widowControl/>
        <w:tabs>
          <w:tab w:val="left" w:pos="860"/>
        </w:tabs>
        <w:ind w:left="720" w:hanging="720"/>
        <w:rPr>
          <w:b/>
          <w:color w:val="080808"/>
        </w:rPr>
      </w:pPr>
    </w:p>
    <w:p w14:paraId="44D0E1C7" w14:textId="447AF677" w:rsidR="00F76BDF" w:rsidRDefault="002B7FC0" w:rsidP="00E562A6">
      <w:pPr>
        <w:keepNext/>
        <w:widowControl/>
        <w:tabs>
          <w:tab w:val="left" w:pos="860"/>
        </w:tabs>
        <w:ind w:left="720" w:hanging="720"/>
        <w:rPr>
          <w:b/>
          <w:color w:val="080808"/>
        </w:rPr>
      </w:pPr>
      <w:r w:rsidRPr="002B7FC0">
        <w:rPr>
          <w:b/>
          <w:color w:val="080808"/>
        </w:rPr>
        <w:t xml:space="preserve">V. </w:t>
      </w:r>
      <w:r>
        <w:rPr>
          <w:b/>
          <w:color w:val="080808"/>
        </w:rPr>
        <w:tab/>
      </w:r>
      <w:r w:rsidR="001977C6">
        <w:rPr>
          <w:b/>
          <w:color w:val="080808"/>
        </w:rPr>
        <w:t>Discussion</w:t>
      </w:r>
    </w:p>
    <w:p w14:paraId="1C726F5B" w14:textId="77777777" w:rsidR="00F76BDF" w:rsidRDefault="00F76BDF" w:rsidP="00E562A6">
      <w:pPr>
        <w:keepNext/>
        <w:widowControl/>
        <w:tabs>
          <w:tab w:val="left" w:pos="860"/>
        </w:tabs>
        <w:ind w:left="720" w:hanging="720"/>
        <w:rPr>
          <w:b/>
          <w:color w:val="080808"/>
        </w:rPr>
      </w:pPr>
    </w:p>
    <w:p w14:paraId="6D26A449" w14:textId="1BA4ACFF" w:rsidR="00C825B2" w:rsidRDefault="00F76BDF" w:rsidP="00E562A6">
      <w:pPr>
        <w:pStyle w:val="BodyText"/>
        <w:keepNext/>
        <w:widowControl/>
        <w:tabs>
          <w:tab w:val="left" w:pos="720"/>
        </w:tabs>
        <w:spacing w:after="0"/>
      </w:pPr>
      <w:r>
        <w:rPr>
          <w:b/>
          <w:color w:val="080808"/>
        </w:rPr>
        <w:tab/>
      </w:r>
      <w:r w:rsidR="00C825B2" w:rsidRPr="0057598D">
        <w:t xml:space="preserve">Member </w:t>
      </w:r>
      <w:r w:rsidR="00DC672E">
        <w:t>Supervision</w:t>
      </w:r>
      <w:r w:rsidR="00C825B2" w:rsidRPr="0057598D">
        <w:t xml:space="preserve"> recommends approv</w:t>
      </w:r>
      <w:r w:rsidR="00C825B2">
        <w:t>ing</w:t>
      </w:r>
      <w:r w:rsidR="00C825B2" w:rsidRPr="0057598D">
        <w:t xml:space="preserve"> the </w:t>
      </w:r>
      <w:r w:rsidR="00C825B2">
        <w:t xml:space="preserve">Firm’s request </w:t>
      </w:r>
      <w:r w:rsidR="00C825B2" w:rsidRPr="0057598D">
        <w:t xml:space="preserve">to </w:t>
      </w:r>
      <w:r w:rsidR="00D17C03">
        <w:t>c</w:t>
      </w:r>
      <w:r w:rsidR="00C825B2" w:rsidRPr="0057598D">
        <w:t xml:space="preserve">ontinue </w:t>
      </w:r>
      <w:r w:rsidR="00C825B2">
        <w:t xml:space="preserve">its </w:t>
      </w:r>
      <w:r w:rsidR="00C825B2" w:rsidRPr="0057598D">
        <w:t xml:space="preserve">membership in FINRA. </w:t>
      </w:r>
      <w:r w:rsidR="00C825B2">
        <w:t xml:space="preserve"> After carefully reviewing the entire record in this matter, we approve the Application.</w:t>
      </w:r>
      <w:r w:rsidR="00D631CF">
        <w:t xml:space="preserve">  </w:t>
      </w:r>
    </w:p>
    <w:p w14:paraId="7E79877E" w14:textId="77777777" w:rsidR="002C65C2" w:rsidRDefault="002C65C2" w:rsidP="002C65C2">
      <w:pPr>
        <w:pStyle w:val="BodyText"/>
        <w:keepNext/>
        <w:widowControl/>
        <w:tabs>
          <w:tab w:val="left" w:pos="720"/>
        </w:tabs>
        <w:spacing w:after="0"/>
      </w:pPr>
    </w:p>
    <w:p w14:paraId="00DA36C0" w14:textId="77777777" w:rsidR="00D00C75" w:rsidRDefault="00D00C75" w:rsidP="00D00C75">
      <w:pPr>
        <w:spacing w:after="240"/>
        <w:ind w:firstLine="720"/>
      </w:pPr>
      <w:r>
        <w:t>In evaluating</w:t>
      </w:r>
      <w:r w:rsidRPr="006F0C91">
        <w:t xml:space="preserve"> </w:t>
      </w:r>
      <w:r>
        <w:t xml:space="preserve">an </w:t>
      </w:r>
      <w:r w:rsidRPr="006F0C91">
        <w:t>application like th</w:t>
      </w:r>
      <w:r>
        <w:t>is</w:t>
      </w:r>
      <w:r w:rsidRPr="006F0C91">
        <w:t xml:space="preserve">, we assess </w:t>
      </w:r>
      <w:r>
        <w:t xml:space="preserve">whether the statutorily disqualified firm seeking to continue its membership in FINRA has demonstrated </w:t>
      </w:r>
      <w:r w:rsidRPr="00073539">
        <w:t xml:space="preserve">that its </w:t>
      </w:r>
      <w:r>
        <w:t xml:space="preserve">continued membership </w:t>
      </w:r>
      <w:r w:rsidRPr="00073539">
        <w:t xml:space="preserve">is </w:t>
      </w:r>
      <w:r>
        <w:t xml:space="preserve">consistent with </w:t>
      </w:r>
      <w:r w:rsidRPr="00073539">
        <w:t xml:space="preserve">the public interest and does not create an unreasonable risk of harm to the market or investors.  </w:t>
      </w:r>
      <w:r w:rsidRPr="00073539">
        <w:rPr>
          <w:i/>
        </w:rPr>
        <w:t xml:space="preserve">See </w:t>
      </w:r>
      <w:r w:rsidRPr="006F0C91">
        <w:t>FINRA By-Laws, Art. III, Sec. (3)(d)</w:t>
      </w:r>
      <w:r>
        <w:t xml:space="preserve">; </w:t>
      </w:r>
      <w:r w:rsidRPr="00073539">
        <w:rPr>
          <w:i/>
        </w:rPr>
        <w:t>cf.</w:t>
      </w:r>
      <w:r w:rsidRPr="006F0C91">
        <w:rPr>
          <w:i/>
        </w:rPr>
        <w:t xml:space="preserve"> Frank Kufrovich</w:t>
      </w:r>
      <w:r w:rsidRPr="006F0C91">
        <w:t>, 55 S.E.C. 616, 624 (2002) (holding that FINRA “may deny an application by a firm for association with a statutorily-disqualified individual if it determines that employment under the proposed plan would not be consistent with the public interest an</w:t>
      </w:r>
      <w:r>
        <w:t>d the protection of investors”).</w:t>
      </w:r>
      <w:r w:rsidRPr="006F0C91">
        <w:t xml:space="preserve"> </w:t>
      </w:r>
      <w:r>
        <w:t xml:space="preserve"> </w:t>
      </w:r>
      <w:r w:rsidRPr="006F0C91">
        <w:t xml:space="preserve">Factors that bear on our assessment include the nature and gravity of the statutorily disqualifying misconduct, the time elapsed since its occurrence, the restrictions imposed, </w:t>
      </w:r>
      <w:r>
        <w:t xml:space="preserve">and </w:t>
      </w:r>
      <w:r w:rsidRPr="006F0C91">
        <w:t>whether there has been any interven</w:t>
      </w:r>
      <w:r>
        <w:t>ing misconduct</w:t>
      </w:r>
      <w:r w:rsidRPr="006F0C91">
        <w:t xml:space="preserve">.    </w:t>
      </w:r>
      <w:r>
        <w:t xml:space="preserve">  </w:t>
      </w:r>
    </w:p>
    <w:p w14:paraId="4B1A129A" w14:textId="137CEF6F" w:rsidR="00C8262B" w:rsidRDefault="00D00C75" w:rsidP="00D00C75">
      <w:pPr>
        <w:widowControl/>
        <w:ind w:firstLine="720"/>
      </w:pPr>
      <w:r w:rsidRPr="00E849DC">
        <w:t>We recogni</w:t>
      </w:r>
      <w:r w:rsidRPr="00322A98">
        <w:t xml:space="preserve">ze that </w:t>
      </w:r>
      <w:r>
        <w:t xml:space="preserve">the </w:t>
      </w:r>
      <w:r w:rsidR="00C8262B">
        <w:t>Disqualifying Decision effectively expelled the Firm from NFA membership and prohibits it from being listed or act</w:t>
      </w:r>
      <w:r w:rsidR="00921DAA">
        <w:t>ing</w:t>
      </w:r>
      <w:r w:rsidR="00C8262B">
        <w:t xml:space="preserve"> as a principal for any NFA member.  </w:t>
      </w:r>
      <w:r w:rsidRPr="00D23735">
        <w:t xml:space="preserve">We note, however, that </w:t>
      </w:r>
      <w:r w:rsidR="008865B8">
        <w:t xml:space="preserve">the </w:t>
      </w:r>
      <w:r w:rsidR="00C8262B">
        <w:t xml:space="preserve">Disqualifying Decision did not contain any specific findings of misconduct against the Firm but rather stemmed from the misconduct of Individual 1 (who has never been and is not currently registered with the Firm) and Brady’s failure to supervise Individual 1.  Further, we note that Brady, the Firm’s CEO, was not suspended and did not have his ability to associate with Zytrade limited as a result of the Disqualifying Decision and that the heightened supervisory plan helps to ensure that the Firm and Brady do not violate </w:t>
      </w:r>
      <w:r w:rsidR="00842D92">
        <w:t xml:space="preserve">the </w:t>
      </w:r>
      <w:r w:rsidR="00C8262B">
        <w:t xml:space="preserve">terms </w:t>
      </w:r>
      <w:r w:rsidR="00842D92">
        <w:t xml:space="preserve">of the Disqualifying Decision </w:t>
      </w:r>
      <w:r w:rsidR="00C8262B">
        <w:t xml:space="preserve">by virtue of Brady’s role as CEO of Zytrade.  </w:t>
      </w:r>
      <w:r w:rsidR="00D7559E">
        <w:t>In addition, the Firm has represented that Brady has complied with all undertakings related to the Disqualifying Decision.</w:t>
      </w:r>
    </w:p>
    <w:p w14:paraId="6F3F81AD" w14:textId="77777777" w:rsidR="00C8262B" w:rsidRDefault="00C8262B" w:rsidP="00D00C75">
      <w:pPr>
        <w:widowControl/>
        <w:ind w:firstLine="720"/>
      </w:pPr>
    </w:p>
    <w:p w14:paraId="3E6A17CE" w14:textId="04999A12" w:rsidR="00C0075A" w:rsidRDefault="0019262F" w:rsidP="005E7CBD">
      <w:pPr>
        <w:widowControl/>
        <w:ind w:firstLine="720"/>
      </w:pPr>
      <w:r>
        <w:t xml:space="preserve">We further </w:t>
      </w:r>
      <w:r w:rsidR="000A7985">
        <w:t>agree with Member Supervision that the Firm’s regulatory history</w:t>
      </w:r>
      <w:r w:rsidR="00C0075A">
        <w:t xml:space="preserve"> </w:t>
      </w:r>
      <w:r w:rsidR="0061046A">
        <w:t xml:space="preserve">should not prevent the continuance of the Firm as a FINRA member.  The Firm </w:t>
      </w:r>
      <w:r w:rsidR="00C8262B">
        <w:t xml:space="preserve">has undergone a number of examinations with no exceptions or Cautionary Actions issued, and we note that the single regulatory matter against the Firm—the 2019 AWC—involved misconduct that occurred approximately seven to eight years ago.  </w:t>
      </w:r>
      <w:r w:rsidR="00C0075A" w:rsidRPr="00BE5786">
        <w:t xml:space="preserve">Further, the Firm </w:t>
      </w:r>
      <w:r w:rsidR="00BE5786">
        <w:t xml:space="preserve">represents that it </w:t>
      </w:r>
      <w:r w:rsidR="0061046A" w:rsidRPr="00BE5786">
        <w:t xml:space="preserve">took </w:t>
      </w:r>
      <w:r w:rsidR="00BE5786">
        <w:t xml:space="preserve">certain </w:t>
      </w:r>
      <w:r w:rsidR="0061046A" w:rsidRPr="00BE5786">
        <w:t>corrective actions in response to the AWC</w:t>
      </w:r>
      <w:r w:rsidR="00C0075A">
        <w:t xml:space="preserve">, and the heightened supervisory plan should help to ensure that misconduct similar to the misconduct underlying the </w:t>
      </w:r>
      <w:r w:rsidR="00316FFD">
        <w:t>2019 AWC</w:t>
      </w:r>
      <w:r w:rsidR="00C0075A">
        <w:t xml:space="preserve"> </w:t>
      </w:r>
      <w:r w:rsidR="00316FFD">
        <w:t>(</w:t>
      </w:r>
      <w:r w:rsidR="00842D92">
        <w:t xml:space="preserve">some of </w:t>
      </w:r>
      <w:r w:rsidR="00316FFD">
        <w:t xml:space="preserve">which shares similarities with the misconduct underlying the Disqualifying Decision) </w:t>
      </w:r>
      <w:r w:rsidR="00C0075A">
        <w:t xml:space="preserve">does not reoccur.  </w:t>
      </w:r>
      <w:r w:rsidR="00C825B2">
        <w:t xml:space="preserve">At this time, we are satisfied, based in part upon the Firm’s representations, Member </w:t>
      </w:r>
      <w:r w:rsidR="00DF5436">
        <w:t>Supervis</w:t>
      </w:r>
      <w:r w:rsidR="00C825B2">
        <w:t>ion’s representations</w:t>
      </w:r>
      <w:r w:rsidR="005D2096">
        <w:t>,</w:t>
      </w:r>
      <w:r w:rsidR="00C825B2">
        <w:t xml:space="preserve"> </w:t>
      </w:r>
      <w:r w:rsidR="0061046A">
        <w:t xml:space="preserve">the heightened supervisory plan, </w:t>
      </w:r>
      <w:r w:rsidR="00C825B2">
        <w:t>and the record currently before us, that the Firm’s continued membership in FINRA is consistent with the public interest and does not create an unreasonable risk of harm to the market or investors.</w:t>
      </w:r>
      <w:r w:rsidR="00B25371">
        <w:t xml:space="preserve"> </w:t>
      </w:r>
      <w:r w:rsidR="00C825B2">
        <w:t> </w:t>
      </w:r>
    </w:p>
    <w:p w14:paraId="751B3FF5" w14:textId="77777777" w:rsidR="00C0075A" w:rsidRDefault="00C0075A" w:rsidP="005E7CBD">
      <w:pPr>
        <w:widowControl/>
        <w:ind w:firstLine="720"/>
      </w:pPr>
    </w:p>
    <w:p w14:paraId="1A097818" w14:textId="77777777" w:rsidR="00804CB4" w:rsidRDefault="00804CB4">
      <w:pPr>
        <w:widowControl/>
        <w:autoSpaceDE/>
        <w:autoSpaceDN/>
        <w:adjustRightInd/>
      </w:pPr>
      <w:r>
        <w:br w:type="page"/>
      </w:r>
    </w:p>
    <w:p w14:paraId="5A2B6BC1" w14:textId="5774E293" w:rsidR="00C825B2" w:rsidRDefault="00C825B2" w:rsidP="005E7CBD">
      <w:pPr>
        <w:widowControl/>
        <w:ind w:firstLine="720"/>
      </w:pPr>
      <w:r w:rsidRPr="00F963EA">
        <w:t>Accordingly, we approve the Firm’s Application to continue its membership in FINRA as set forth herein.</w:t>
      </w:r>
      <w:r w:rsidR="00B25371">
        <w:t xml:space="preserve"> </w:t>
      </w:r>
      <w:r w:rsidRPr="00F963EA">
        <w:t xml:space="preserve"> In conformity with the provisions of </w:t>
      </w:r>
      <w:r>
        <w:t>Exchange Act</w:t>
      </w:r>
      <w:r w:rsidRPr="00F963EA">
        <w:t xml:space="preserve"> Rule 19h</w:t>
      </w:r>
      <w:r w:rsidR="00655613">
        <w:noBreakHyphen/>
      </w:r>
      <w:r w:rsidR="00FA0A09">
        <w:t>1</w:t>
      </w:r>
      <w:r w:rsidRPr="00F963EA">
        <w:t xml:space="preserve">, the </w:t>
      </w:r>
      <w:r w:rsidR="00C4692F">
        <w:t xml:space="preserve">approval of the </w:t>
      </w:r>
      <w:r w:rsidRPr="00F963EA">
        <w:t xml:space="preserve">continued membership of the Firm will become effective within 30 days of the receipt of this notice by the </w:t>
      </w:r>
      <w:r w:rsidR="00D733DF">
        <w:t>SEC</w:t>
      </w:r>
      <w:r w:rsidRPr="00F963EA">
        <w:t xml:space="preserve">, unless otherwise notified by the </w:t>
      </w:r>
      <w:r w:rsidR="00D733DF">
        <w:t>SEC</w:t>
      </w:r>
      <w:r w:rsidRPr="00F963EA">
        <w:t>.</w:t>
      </w:r>
    </w:p>
    <w:p w14:paraId="4ED1BF54" w14:textId="77777777" w:rsidR="000809CA" w:rsidRDefault="000809CA" w:rsidP="009B6B10">
      <w:pPr>
        <w:pStyle w:val="BodyTextIndent"/>
        <w:ind w:left="3240" w:firstLine="360"/>
      </w:pPr>
    </w:p>
    <w:p w14:paraId="5FA5C8CA" w14:textId="6A953EB2" w:rsidR="009B6B10" w:rsidRPr="003E404A" w:rsidRDefault="009B6B10" w:rsidP="00C0075A">
      <w:pPr>
        <w:widowControl/>
        <w:autoSpaceDE/>
        <w:autoSpaceDN/>
        <w:adjustRightInd/>
        <w:ind w:left="2520" w:firstLine="720"/>
      </w:pPr>
      <w:r w:rsidRPr="003E404A">
        <w:t>On Behalf of the National Adjudicatory Council,</w:t>
      </w:r>
    </w:p>
    <w:p w14:paraId="7614CDF6" w14:textId="2F68B453" w:rsidR="009B6B10" w:rsidRDefault="009B6B10" w:rsidP="009B6B10">
      <w:pPr>
        <w:pStyle w:val="BodyTextIndent"/>
        <w:ind w:left="3240" w:firstLine="360"/>
      </w:pPr>
    </w:p>
    <w:p w14:paraId="1AC3486F" w14:textId="77777777" w:rsidR="003F381A" w:rsidRPr="003E404A" w:rsidRDefault="003F381A" w:rsidP="009B6B10">
      <w:pPr>
        <w:pStyle w:val="BodyTextIndent"/>
        <w:ind w:left="3240" w:firstLine="360"/>
      </w:pPr>
    </w:p>
    <w:p w14:paraId="172E5BBE" w14:textId="6CC1F7F1" w:rsidR="009B6B10" w:rsidRPr="003E404A" w:rsidRDefault="009B6B10" w:rsidP="0061046A">
      <w:pPr>
        <w:pStyle w:val="BodyTextIndent"/>
        <w:spacing w:after="0"/>
        <w:ind w:left="3240"/>
      </w:pPr>
      <w:r w:rsidRPr="003E404A">
        <w:t>___________________________________</w:t>
      </w:r>
    </w:p>
    <w:p w14:paraId="688247C9" w14:textId="77777777" w:rsidR="009B6B10" w:rsidRPr="003E404A" w:rsidRDefault="009B6B10" w:rsidP="0061046A">
      <w:pPr>
        <w:pStyle w:val="BodyTextIndent"/>
        <w:spacing w:after="0"/>
        <w:ind w:left="2880" w:firstLine="360"/>
      </w:pPr>
      <w:r w:rsidRPr="003E404A">
        <w:t>Jennifer Mitchell Piorko</w:t>
      </w:r>
    </w:p>
    <w:p w14:paraId="6908D9F6" w14:textId="77777777" w:rsidR="009B6B10" w:rsidRPr="003E404A" w:rsidRDefault="009B6B10" w:rsidP="0061046A">
      <w:pPr>
        <w:pStyle w:val="BodyTextIndent"/>
        <w:spacing w:after="0"/>
        <w:ind w:left="3240"/>
      </w:pPr>
      <w:r w:rsidRPr="003E404A">
        <w:t>Vice President and Deputy Corporate Secretary</w:t>
      </w:r>
    </w:p>
    <w:p w14:paraId="139E9A72" w14:textId="77777777" w:rsidR="00C825B2" w:rsidRDefault="00C825B2" w:rsidP="009B6B10">
      <w:pPr>
        <w:pStyle w:val="BodyTextIndent"/>
        <w:spacing w:after="0"/>
        <w:ind w:left="3600"/>
      </w:pPr>
    </w:p>
    <w:sectPr w:rsidR="00C825B2" w:rsidSect="00467D6E">
      <w:headerReference w:type="default" r:id="rId8"/>
      <w:footerReference w:type="default" r:id="rId9"/>
      <w:headerReference w:type="first" r:id="rId10"/>
      <w:footerReference w:type="first" r:id="rId11"/>
      <w:pgSz w:w="12240" w:h="15840" w:code="1"/>
      <w:pgMar w:top="1440" w:right="1800" w:bottom="1440" w:left="1800" w:header="720" w:footer="720" w:gutter="0"/>
      <w:paperSrc w:first="25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31A1E" w14:textId="77777777" w:rsidR="003F50AD" w:rsidRDefault="003F50AD">
      <w:r>
        <w:separator/>
      </w:r>
    </w:p>
  </w:endnote>
  <w:endnote w:type="continuationSeparator" w:id="0">
    <w:p w14:paraId="36FFD354" w14:textId="77777777" w:rsidR="003F50AD" w:rsidRDefault="003F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1051"/>
      <w:docPartObj>
        <w:docPartGallery w:val="Page Numbers (Bottom of Page)"/>
        <w:docPartUnique/>
      </w:docPartObj>
    </w:sdtPr>
    <w:sdtEndPr/>
    <w:sdtContent>
      <w:p w14:paraId="2F7CEAA0" w14:textId="77777777" w:rsidR="001831F8" w:rsidRDefault="001831F8" w:rsidP="006A3BA3">
        <w:pPr>
          <w:pStyle w:val="Footer"/>
          <w:jc w:val="center"/>
        </w:pPr>
        <w:r>
          <w:fldChar w:fldCharType="begin"/>
        </w:r>
        <w:r>
          <w:instrText xml:space="preserve"> PAGE   \* MERGEFORMAT </w:instrText>
        </w:r>
        <w:r>
          <w:fldChar w:fldCharType="separate"/>
        </w:r>
        <w:r w:rsidR="00327407">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2BAB" w14:textId="77777777" w:rsidR="001831F8" w:rsidRDefault="001831F8">
    <w:pPr>
      <w:pStyle w:val="Footer"/>
      <w:jc w:val="center"/>
    </w:pPr>
  </w:p>
  <w:p w14:paraId="59221164" w14:textId="77777777" w:rsidR="001831F8" w:rsidRDefault="00183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A6C5D" w14:textId="77777777" w:rsidR="003F50AD" w:rsidRDefault="003F50AD">
      <w:r>
        <w:separator/>
      </w:r>
    </w:p>
  </w:footnote>
  <w:footnote w:type="continuationSeparator" w:id="0">
    <w:p w14:paraId="31925867" w14:textId="77777777" w:rsidR="003F50AD" w:rsidRDefault="003F50AD" w:rsidP="006A3BA3">
      <w:r>
        <w:separator/>
      </w:r>
    </w:p>
    <w:p w14:paraId="565627C8" w14:textId="77777777" w:rsidR="003F50AD" w:rsidRPr="006A3BA3" w:rsidRDefault="003F50AD" w:rsidP="006A3BA3">
      <w:pPr>
        <w:pStyle w:val="Footer"/>
        <w:spacing w:before="120" w:after="120"/>
      </w:pPr>
      <w:r w:rsidRPr="000A30D2">
        <w:t>[cont’d]</w:t>
      </w:r>
    </w:p>
  </w:footnote>
  <w:footnote w:type="continuationNotice" w:id="1">
    <w:p w14:paraId="5274E0DE" w14:textId="77777777" w:rsidR="003F50AD" w:rsidRDefault="003F50AD" w:rsidP="006A3BA3">
      <w:pPr>
        <w:spacing w:before="120" w:after="120"/>
        <w:jc w:val="right"/>
      </w:pPr>
      <w:r w:rsidRPr="000A30D2">
        <w:t>[Footnote continued on next page]</w:t>
      </w:r>
    </w:p>
  </w:footnote>
  <w:footnote w:id="2">
    <w:p w14:paraId="4BC55813" w14:textId="6B33BFDB" w:rsidR="001D0836" w:rsidRPr="00F87111" w:rsidRDefault="001D0836" w:rsidP="008865B8">
      <w:r w:rsidRPr="00F87111">
        <w:rPr>
          <w:rStyle w:val="FootnoteReference"/>
        </w:rPr>
        <w:footnoteRef/>
      </w:r>
      <w:r w:rsidRPr="00F87111">
        <w:t xml:space="preserve"> </w:t>
      </w:r>
      <w:r w:rsidRPr="00F87111">
        <w:tab/>
      </w:r>
      <w:r w:rsidR="00854F22">
        <w:t xml:space="preserve">Section </w:t>
      </w:r>
      <w:r w:rsidRPr="00F87111">
        <w:t>3(a)(39)(</w:t>
      </w:r>
      <w:r w:rsidR="00854F22">
        <w:t>A</w:t>
      </w:r>
      <w:r w:rsidRPr="00F87111">
        <w:t>)</w:t>
      </w:r>
      <w:r w:rsidR="00854F22">
        <w:t xml:space="preserve"> of the Securities Exchange Act of 1934 (“Exchange Act”) provides that </w:t>
      </w:r>
      <w:r w:rsidR="00FB53D0">
        <w:t xml:space="preserve">a firm is </w:t>
      </w:r>
      <w:r w:rsidR="00C50234">
        <w:t xml:space="preserve">statutorily </w:t>
      </w:r>
      <w:r w:rsidR="00FB53D0">
        <w:t>disqualified if it has been</w:t>
      </w:r>
      <w:r w:rsidR="00C50234">
        <w:t xml:space="preserve"> expelled or barred from</w:t>
      </w:r>
      <w:r w:rsidR="00FB53D0" w:rsidRPr="00FB53D0">
        <w:t xml:space="preserve"> membership or participation in any self-regulatory organization</w:t>
      </w:r>
      <w:r w:rsidR="00C50234">
        <w:t>.</w:t>
      </w:r>
      <w:r w:rsidRPr="00F87111">
        <w:t xml:space="preserve">   </w:t>
      </w:r>
    </w:p>
  </w:footnote>
  <w:footnote w:id="3">
    <w:p w14:paraId="2A1E94EF" w14:textId="77777777" w:rsidR="00D7559E" w:rsidRDefault="00EE7EAF" w:rsidP="00EE7EAF">
      <w:pPr>
        <w:pStyle w:val="FootnoteText"/>
        <w:spacing w:after="240"/>
        <w:rPr>
          <w:sz w:val="24"/>
          <w:szCs w:val="24"/>
        </w:rPr>
      </w:pPr>
      <w:r w:rsidRPr="00EE7EAF">
        <w:rPr>
          <w:rStyle w:val="FootnoteReference"/>
          <w:sz w:val="24"/>
          <w:szCs w:val="24"/>
        </w:rPr>
        <w:footnoteRef/>
      </w:r>
      <w:r w:rsidRPr="00EE7EAF">
        <w:rPr>
          <w:sz w:val="24"/>
          <w:szCs w:val="24"/>
        </w:rPr>
        <w:t xml:space="preserve"> </w:t>
      </w:r>
      <w:r w:rsidRPr="00EE7EAF">
        <w:rPr>
          <w:sz w:val="24"/>
          <w:szCs w:val="24"/>
        </w:rPr>
        <w:tab/>
        <w:t xml:space="preserve">The Disqualifying Decision incorporated an agreement between Brady and the NFA that required </w:t>
      </w:r>
      <w:r w:rsidR="00573611">
        <w:rPr>
          <w:sz w:val="24"/>
          <w:szCs w:val="24"/>
        </w:rPr>
        <w:t>that Brady pay a $20,000 fine and engage in</w:t>
      </w:r>
      <w:r w:rsidR="00573611" w:rsidRPr="00EE7EAF">
        <w:rPr>
          <w:sz w:val="24"/>
          <w:szCs w:val="24"/>
        </w:rPr>
        <w:t xml:space="preserve"> </w:t>
      </w:r>
      <w:r w:rsidRPr="00EE7EAF">
        <w:rPr>
          <w:sz w:val="24"/>
          <w:szCs w:val="24"/>
        </w:rPr>
        <w:t>certain undertakings in his capacity as CEO of another NFA member, Zytrade LLC</w:t>
      </w:r>
      <w:r w:rsidR="004B129A">
        <w:rPr>
          <w:sz w:val="24"/>
          <w:szCs w:val="24"/>
        </w:rPr>
        <w:t xml:space="preserve"> (“Zytrade”)</w:t>
      </w:r>
      <w:r w:rsidRPr="00EE7EAF">
        <w:rPr>
          <w:sz w:val="24"/>
          <w:szCs w:val="24"/>
        </w:rPr>
        <w:t>.</w:t>
      </w:r>
      <w:r w:rsidR="004B129A">
        <w:rPr>
          <w:sz w:val="24"/>
          <w:szCs w:val="24"/>
        </w:rPr>
        <w:t xml:space="preserve">  </w:t>
      </w:r>
      <w:r w:rsidR="00D7559E">
        <w:rPr>
          <w:sz w:val="24"/>
          <w:szCs w:val="24"/>
        </w:rPr>
        <w:t xml:space="preserve">The Firm represents that Brady has complied with these undertakings.  </w:t>
      </w:r>
    </w:p>
    <w:p w14:paraId="2C3B61AC" w14:textId="3A601AD1" w:rsidR="00EE7EAF" w:rsidRPr="00EE7EAF" w:rsidRDefault="004B129A" w:rsidP="007670BF">
      <w:pPr>
        <w:pStyle w:val="FootnoteText"/>
        <w:ind w:firstLine="720"/>
        <w:rPr>
          <w:sz w:val="24"/>
          <w:szCs w:val="24"/>
        </w:rPr>
      </w:pPr>
      <w:r>
        <w:rPr>
          <w:sz w:val="24"/>
          <w:szCs w:val="24"/>
        </w:rPr>
        <w:t>Zytrade</w:t>
      </w:r>
      <w:r w:rsidR="00D7559E">
        <w:rPr>
          <w:sz w:val="24"/>
          <w:szCs w:val="24"/>
        </w:rPr>
        <w:t xml:space="preserve">, which is not a FINRA member, </w:t>
      </w:r>
      <w:r>
        <w:rPr>
          <w:sz w:val="24"/>
          <w:szCs w:val="24"/>
        </w:rPr>
        <w:t xml:space="preserve">was approved to act as an introducing broker </w:t>
      </w:r>
      <w:r w:rsidR="00D7559E">
        <w:rPr>
          <w:sz w:val="24"/>
          <w:szCs w:val="24"/>
        </w:rPr>
        <w:t xml:space="preserve">NFA </w:t>
      </w:r>
      <w:r>
        <w:rPr>
          <w:sz w:val="24"/>
          <w:szCs w:val="24"/>
        </w:rPr>
        <w:t xml:space="preserve">member </w:t>
      </w:r>
      <w:r w:rsidR="00921DAA">
        <w:rPr>
          <w:sz w:val="24"/>
          <w:szCs w:val="24"/>
        </w:rPr>
        <w:t xml:space="preserve">in </w:t>
      </w:r>
      <w:r>
        <w:rPr>
          <w:sz w:val="24"/>
          <w:szCs w:val="24"/>
        </w:rPr>
        <w:t>October 2019</w:t>
      </w:r>
      <w:r w:rsidR="007670BF">
        <w:rPr>
          <w:sz w:val="24"/>
          <w:szCs w:val="24"/>
        </w:rPr>
        <w:t>, d</w:t>
      </w:r>
      <w:r w:rsidR="007670BF" w:rsidRPr="004E7CC8">
        <w:rPr>
          <w:sz w:val="24"/>
          <w:szCs w:val="24"/>
        </w:rPr>
        <w:t>uring the NFA’s investigation of the Firm</w:t>
      </w:r>
      <w:r w:rsidR="007670BF">
        <w:rPr>
          <w:sz w:val="24"/>
          <w:szCs w:val="24"/>
        </w:rPr>
        <w:t>.</w:t>
      </w:r>
      <w:r w:rsidR="00D7559E">
        <w:rPr>
          <w:sz w:val="24"/>
          <w:szCs w:val="24"/>
        </w:rPr>
        <w:t xml:space="preserve">  </w:t>
      </w:r>
      <w:r w:rsidR="007670BF">
        <w:rPr>
          <w:sz w:val="24"/>
          <w:szCs w:val="24"/>
        </w:rPr>
        <w:t>T</w:t>
      </w:r>
      <w:r w:rsidR="00D7559E">
        <w:rPr>
          <w:sz w:val="24"/>
          <w:szCs w:val="24"/>
        </w:rPr>
        <w:t>he Firm represents that it does not have any business relationship with Zytrade</w:t>
      </w:r>
      <w:r>
        <w:rPr>
          <w:sz w:val="24"/>
          <w:szCs w:val="24"/>
        </w:rPr>
        <w:t xml:space="preserve">, </w:t>
      </w:r>
      <w:r w:rsidR="007670BF">
        <w:rPr>
          <w:sz w:val="24"/>
          <w:szCs w:val="24"/>
        </w:rPr>
        <w:t xml:space="preserve">although </w:t>
      </w:r>
      <w:r>
        <w:rPr>
          <w:sz w:val="24"/>
          <w:szCs w:val="24"/>
        </w:rPr>
        <w:t xml:space="preserve">the Firm’s three employees are currently dually registered </w:t>
      </w:r>
      <w:r w:rsidR="00D7559E">
        <w:rPr>
          <w:sz w:val="24"/>
          <w:szCs w:val="24"/>
        </w:rPr>
        <w:t>with</w:t>
      </w:r>
      <w:r>
        <w:rPr>
          <w:sz w:val="24"/>
          <w:szCs w:val="24"/>
        </w:rPr>
        <w:t xml:space="preserve"> Zytrade. </w:t>
      </w:r>
      <w:r w:rsidR="00046F41">
        <w:rPr>
          <w:sz w:val="24"/>
          <w:szCs w:val="24"/>
        </w:rPr>
        <w:t xml:space="preserve"> The record shows that Zytrade does not have any regulatory or disciplinary history</w:t>
      </w:r>
      <w:r w:rsidR="008F1B28">
        <w:rPr>
          <w:sz w:val="24"/>
          <w:szCs w:val="24"/>
        </w:rPr>
        <w:t xml:space="preserve">, and Individual 1 is not currently registered with Zytrade.  </w:t>
      </w:r>
    </w:p>
  </w:footnote>
  <w:footnote w:id="4">
    <w:p w14:paraId="0BFC7172" w14:textId="159C04BD" w:rsidR="00BE5786" w:rsidRPr="00BE5786" w:rsidRDefault="00BE5786">
      <w:pPr>
        <w:pStyle w:val="FootnoteText"/>
        <w:rPr>
          <w:sz w:val="24"/>
          <w:szCs w:val="24"/>
        </w:rPr>
      </w:pPr>
      <w:r w:rsidRPr="00BE5786">
        <w:rPr>
          <w:rStyle w:val="FootnoteReference"/>
          <w:sz w:val="24"/>
          <w:szCs w:val="24"/>
        </w:rPr>
        <w:footnoteRef/>
      </w:r>
      <w:r w:rsidRPr="00BE5786">
        <w:rPr>
          <w:sz w:val="24"/>
          <w:szCs w:val="24"/>
        </w:rPr>
        <w:t xml:space="preserve"> </w:t>
      </w:r>
      <w:r w:rsidRPr="00BE5786">
        <w:rPr>
          <w:sz w:val="24"/>
          <w:szCs w:val="24"/>
        </w:rPr>
        <w:tab/>
        <w:t xml:space="preserve">The Firm represents that it made </w:t>
      </w:r>
      <w:r>
        <w:rPr>
          <w:sz w:val="24"/>
          <w:szCs w:val="24"/>
        </w:rPr>
        <w:t xml:space="preserve">certain </w:t>
      </w:r>
      <w:r w:rsidRPr="00BE5786">
        <w:rPr>
          <w:sz w:val="24"/>
          <w:szCs w:val="24"/>
        </w:rPr>
        <w:t>changes to its processes and procedures with respect to the</w:t>
      </w:r>
      <w:r>
        <w:rPr>
          <w:sz w:val="24"/>
          <w:szCs w:val="24"/>
        </w:rPr>
        <w:t xml:space="preserve"> deficiencies noted in the AWC.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F2A3" w14:textId="77777777" w:rsidR="000B234F" w:rsidRDefault="000B234F" w:rsidP="000B234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108E3" w14:textId="77777777" w:rsidR="000B234F" w:rsidRDefault="000B234F" w:rsidP="000B234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C47AB"/>
    <w:multiLevelType w:val="hybridMultilevel"/>
    <w:tmpl w:val="D4A665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B74B14"/>
    <w:multiLevelType w:val="hybridMultilevel"/>
    <w:tmpl w:val="2D2C5928"/>
    <w:lvl w:ilvl="0" w:tplc="086A0A72">
      <w:start w:val="1"/>
      <w:numFmt w:val="decimal"/>
      <w:lvlText w:val="%1."/>
      <w:lvlJc w:val="left"/>
      <w:pPr>
        <w:ind w:left="-900" w:hanging="360"/>
      </w:pPr>
      <w:rPr>
        <w:rFonts w:hint="default"/>
      </w:rPr>
    </w:lvl>
    <w:lvl w:ilvl="1" w:tplc="04090019">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 w15:restartNumberingAfterBreak="0">
    <w:nsid w:val="40792D0E"/>
    <w:multiLevelType w:val="hybridMultilevel"/>
    <w:tmpl w:val="9E4E94E2"/>
    <w:lvl w:ilvl="0" w:tplc="4F889A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A0A243D"/>
    <w:multiLevelType w:val="hybridMultilevel"/>
    <w:tmpl w:val="4D88EDB4"/>
    <w:lvl w:ilvl="0" w:tplc="D1564A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4389C"/>
    <w:multiLevelType w:val="hybridMultilevel"/>
    <w:tmpl w:val="0D585F3A"/>
    <w:lvl w:ilvl="0" w:tplc="93165A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5AD5E8D"/>
    <w:multiLevelType w:val="hybridMultilevel"/>
    <w:tmpl w:val="FE62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533E45"/>
    <w:multiLevelType w:val="hybridMultilevel"/>
    <w:tmpl w:val="D9261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E23F2F"/>
    <w:multiLevelType w:val="hybridMultilevel"/>
    <w:tmpl w:val="DC8EC87A"/>
    <w:lvl w:ilvl="0" w:tplc="78C21ADC">
      <w:start w:val="1"/>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1465538">
    <w:abstractNumId w:val="3"/>
  </w:num>
  <w:num w:numId="2" w16cid:durableId="514929691">
    <w:abstractNumId w:val="7"/>
  </w:num>
  <w:num w:numId="3" w16cid:durableId="1836217870">
    <w:abstractNumId w:val="0"/>
  </w:num>
  <w:num w:numId="4" w16cid:durableId="1022779934">
    <w:abstractNumId w:val="4"/>
  </w:num>
  <w:num w:numId="5" w16cid:durableId="371081094">
    <w:abstractNumId w:val="6"/>
  </w:num>
  <w:num w:numId="6" w16cid:durableId="799540920">
    <w:abstractNumId w:val="5"/>
  </w:num>
  <w:num w:numId="7" w16cid:durableId="50856239">
    <w:abstractNumId w:val="2"/>
  </w:num>
  <w:num w:numId="8" w16cid:durableId="173134235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889"/>
    <w:rsid w:val="000010DF"/>
    <w:rsid w:val="0000123E"/>
    <w:rsid w:val="00001697"/>
    <w:rsid w:val="00002369"/>
    <w:rsid w:val="000024D1"/>
    <w:rsid w:val="00002CC2"/>
    <w:rsid w:val="00007C52"/>
    <w:rsid w:val="0001170A"/>
    <w:rsid w:val="00011E21"/>
    <w:rsid w:val="0001337B"/>
    <w:rsid w:val="00013CCD"/>
    <w:rsid w:val="0001458D"/>
    <w:rsid w:val="000161EC"/>
    <w:rsid w:val="00016965"/>
    <w:rsid w:val="000216CA"/>
    <w:rsid w:val="000233BD"/>
    <w:rsid w:val="000233FD"/>
    <w:rsid w:val="00024CD7"/>
    <w:rsid w:val="00025202"/>
    <w:rsid w:val="00025611"/>
    <w:rsid w:val="0002604F"/>
    <w:rsid w:val="000269B0"/>
    <w:rsid w:val="00026CE6"/>
    <w:rsid w:val="00027830"/>
    <w:rsid w:val="00027B97"/>
    <w:rsid w:val="000302A5"/>
    <w:rsid w:val="00030C70"/>
    <w:rsid w:val="00030F0B"/>
    <w:rsid w:val="000321C9"/>
    <w:rsid w:val="000326CB"/>
    <w:rsid w:val="00032CF7"/>
    <w:rsid w:val="00033275"/>
    <w:rsid w:val="00033670"/>
    <w:rsid w:val="0003398C"/>
    <w:rsid w:val="00033C25"/>
    <w:rsid w:val="00034616"/>
    <w:rsid w:val="0003688F"/>
    <w:rsid w:val="00037307"/>
    <w:rsid w:val="00037512"/>
    <w:rsid w:val="00037B50"/>
    <w:rsid w:val="00040418"/>
    <w:rsid w:val="00040503"/>
    <w:rsid w:val="00040C35"/>
    <w:rsid w:val="000412BA"/>
    <w:rsid w:val="000418BF"/>
    <w:rsid w:val="00041BF0"/>
    <w:rsid w:val="00041E66"/>
    <w:rsid w:val="0004222B"/>
    <w:rsid w:val="00042D50"/>
    <w:rsid w:val="00043232"/>
    <w:rsid w:val="0004522F"/>
    <w:rsid w:val="000456AD"/>
    <w:rsid w:val="00045BC8"/>
    <w:rsid w:val="00045D2A"/>
    <w:rsid w:val="00046F41"/>
    <w:rsid w:val="00047CD7"/>
    <w:rsid w:val="00050D64"/>
    <w:rsid w:val="000516D7"/>
    <w:rsid w:val="00052364"/>
    <w:rsid w:val="000524D0"/>
    <w:rsid w:val="00052717"/>
    <w:rsid w:val="00052ADE"/>
    <w:rsid w:val="000547ED"/>
    <w:rsid w:val="00056333"/>
    <w:rsid w:val="000564DE"/>
    <w:rsid w:val="00057168"/>
    <w:rsid w:val="00057A6B"/>
    <w:rsid w:val="000607B5"/>
    <w:rsid w:val="00061786"/>
    <w:rsid w:val="00061D4B"/>
    <w:rsid w:val="00062AE1"/>
    <w:rsid w:val="00062F9F"/>
    <w:rsid w:val="00063373"/>
    <w:rsid w:val="00063387"/>
    <w:rsid w:val="00064126"/>
    <w:rsid w:val="00064EA5"/>
    <w:rsid w:val="000659E4"/>
    <w:rsid w:val="00066F39"/>
    <w:rsid w:val="0006754B"/>
    <w:rsid w:val="00070096"/>
    <w:rsid w:val="000708FC"/>
    <w:rsid w:val="00071197"/>
    <w:rsid w:val="00072C1B"/>
    <w:rsid w:val="0007330D"/>
    <w:rsid w:val="00075AC7"/>
    <w:rsid w:val="00076BCD"/>
    <w:rsid w:val="00077C29"/>
    <w:rsid w:val="000809CA"/>
    <w:rsid w:val="00080D01"/>
    <w:rsid w:val="00081306"/>
    <w:rsid w:val="0008248A"/>
    <w:rsid w:val="00083980"/>
    <w:rsid w:val="00083F93"/>
    <w:rsid w:val="0008750A"/>
    <w:rsid w:val="0009052D"/>
    <w:rsid w:val="00091386"/>
    <w:rsid w:val="0009301B"/>
    <w:rsid w:val="00093443"/>
    <w:rsid w:val="00095E71"/>
    <w:rsid w:val="00095EDD"/>
    <w:rsid w:val="00096A74"/>
    <w:rsid w:val="00097A5A"/>
    <w:rsid w:val="000A016F"/>
    <w:rsid w:val="000A0E93"/>
    <w:rsid w:val="000A164F"/>
    <w:rsid w:val="000A1D23"/>
    <w:rsid w:val="000A1D30"/>
    <w:rsid w:val="000A223D"/>
    <w:rsid w:val="000A289B"/>
    <w:rsid w:val="000A2E4A"/>
    <w:rsid w:val="000A3166"/>
    <w:rsid w:val="000A3A86"/>
    <w:rsid w:val="000A5C34"/>
    <w:rsid w:val="000A6882"/>
    <w:rsid w:val="000A6886"/>
    <w:rsid w:val="000A6A39"/>
    <w:rsid w:val="000A6F92"/>
    <w:rsid w:val="000A7985"/>
    <w:rsid w:val="000A7CFE"/>
    <w:rsid w:val="000A7E99"/>
    <w:rsid w:val="000B063B"/>
    <w:rsid w:val="000B0DD3"/>
    <w:rsid w:val="000B1E80"/>
    <w:rsid w:val="000B234F"/>
    <w:rsid w:val="000B2E8F"/>
    <w:rsid w:val="000B5F68"/>
    <w:rsid w:val="000B6CE3"/>
    <w:rsid w:val="000B7C6F"/>
    <w:rsid w:val="000B7E57"/>
    <w:rsid w:val="000C047D"/>
    <w:rsid w:val="000C23DB"/>
    <w:rsid w:val="000C28C4"/>
    <w:rsid w:val="000C309B"/>
    <w:rsid w:val="000C35D8"/>
    <w:rsid w:val="000C4972"/>
    <w:rsid w:val="000C4CAD"/>
    <w:rsid w:val="000C53E6"/>
    <w:rsid w:val="000C606D"/>
    <w:rsid w:val="000C639C"/>
    <w:rsid w:val="000C6805"/>
    <w:rsid w:val="000D0CA1"/>
    <w:rsid w:val="000D1CA0"/>
    <w:rsid w:val="000D1CF5"/>
    <w:rsid w:val="000D38A4"/>
    <w:rsid w:val="000D3D60"/>
    <w:rsid w:val="000D4A82"/>
    <w:rsid w:val="000D5A66"/>
    <w:rsid w:val="000D5AEA"/>
    <w:rsid w:val="000D626A"/>
    <w:rsid w:val="000D6B1D"/>
    <w:rsid w:val="000E05A8"/>
    <w:rsid w:val="000E09C6"/>
    <w:rsid w:val="000E2397"/>
    <w:rsid w:val="000E26D3"/>
    <w:rsid w:val="000E3C39"/>
    <w:rsid w:val="000E3E9B"/>
    <w:rsid w:val="000E485F"/>
    <w:rsid w:val="000E52EE"/>
    <w:rsid w:val="000F03B3"/>
    <w:rsid w:val="000F050D"/>
    <w:rsid w:val="000F0B7B"/>
    <w:rsid w:val="000F192A"/>
    <w:rsid w:val="000F1D53"/>
    <w:rsid w:val="000F32C2"/>
    <w:rsid w:val="000F35A7"/>
    <w:rsid w:val="000F3C7A"/>
    <w:rsid w:val="000F417A"/>
    <w:rsid w:val="000F4A2D"/>
    <w:rsid w:val="000F4F30"/>
    <w:rsid w:val="000F569A"/>
    <w:rsid w:val="000F62FC"/>
    <w:rsid w:val="000F679C"/>
    <w:rsid w:val="001000F1"/>
    <w:rsid w:val="00100A2C"/>
    <w:rsid w:val="00101724"/>
    <w:rsid w:val="00101C54"/>
    <w:rsid w:val="001025EB"/>
    <w:rsid w:val="001025EF"/>
    <w:rsid w:val="00105386"/>
    <w:rsid w:val="00106180"/>
    <w:rsid w:val="00106C21"/>
    <w:rsid w:val="00106CC3"/>
    <w:rsid w:val="001075E1"/>
    <w:rsid w:val="00107F24"/>
    <w:rsid w:val="001128A3"/>
    <w:rsid w:val="0011440C"/>
    <w:rsid w:val="00116983"/>
    <w:rsid w:val="00117422"/>
    <w:rsid w:val="001174D4"/>
    <w:rsid w:val="0012141C"/>
    <w:rsid w:val="001214B9"/>
    <w:rsid w:val="00121862"/>
    <w:rsid w:val="00121D4D"/>
    <w:rsid w:val="001225BF"/>
    <w:rsid w:val="00122D12"/>
    <w:rsid w:val="00124CB2"/>
    <w:rsid w:val="001256E9"/>
    <w:rsid w:val="00126446"/>
    <w:rsid w:val="001278B7"/>
    <w:rsid w:val="00127C2B"/>
    <w:rsid w:val="001302F8"/>
    <w:rsid w:val="001324D7"/>
    <w:rsid w:val="001326F3"/>
    <w:rsid w:val="001329B9"/>
    <w:rsid w:val="00133B95"/>
    <w:rsid w:val="0013545A"/>
    <w:rsid w:val="00135CFC"/>
    <w:rsid w:val="001364D9"/>
    <w:rsid w:val="001377E8"/>
    <w:rsid w:val="0013783A"/>
    <w:rsid w:val="001400B1"/>
    <w:rsid w:val="00140809"/>
    <w:rsid w:val="00140EAB"/>
    <w:rsid w:val="0014162D"/>
    <w:rsid w:val="00141727"/>
    <w:rsid w:val="00142272"/>
    <w:rsid w:val="00142BB8"/>
    <w:rsid w:val="0014347E"/>
    <w:rsid w:val="00144900"/>
    <w:rsid w:val="00144A0D"/>
    <w:rsid w:val="00144BB7"/>
    <w:rsid w:val="001455AD"/>
    <w:rsid w:val="00145B95"/>
    <w:rsid w:val="00146490"/>
    <w:rsid w:val="00146B2C"/>
    <w:rsid w:val="00146C1A"/>
    <w:rsid w:val="00147D5A"/>
    <w:rsid w:val="001503FC"/>
    <w:rsid w:val="00150549"/>
    <w:rsid w:val="00151270"/>
    <w:rsid w:val="0015134B"/>
    <w:rsid w:val="00151839"/>
    <w:rsid w:val="00151C56"/>
    <w:rsid w:val="00152431"/>
    <w:rsid w:val="001533A4"/>
    <w:rsid w:val="00154040"/>
    <w:rsid w:val="001544B4"/>
    <w:rsid w:val="00154732"/>
    <w:rsid w:val="00154DCE"/>
    <w:rsid w:val="001568E5"/>
    <w:rsid w:val="0016029B"/>
    <w:rsid w:val="00162276"/>
    <w:rsid w:val="001637AE"/>
    <w:rsid w:val="001637EB"/>
    <w:rsid w:val="0016392B"/>
    <w:rsid w:val="00163AF4"/>
    <w:rsid w:val="00165B05"/>
    <w:rsid w:val="00165D34"/>
    <w:rsid w:val="00166310"/>
    <w:rsid w:val="001666FA"/>
    <w:rsid w:val="00167062"/>
    <w:rsid w:val="00170904"/>
    <w:rsid w:val="0017288D"/>
    <w:rsid w:val="00172EC0"/>
    <w:rsid w:val="00173E41"/>
    <w:rsid w:val="00173FFE"/>
    <w:rsid w:val="00174092"/>
    <w:rsid w:val="0017478E"/>
    <w:rsid w:val="00174B70"/>
    <w:rsid w:val="00175C32"/>
    <w:rsid w:val="001760EA"/>
    <w:rsid w:val="00177677"/>
    <w:rsid w:val="00180906"/>
    <w:rsid w:val="00180AA7"/>
    <w:rsid w:val="00181055"/>
    <w:rsid w:val="001820AD"/>
    <w:rsid w:val="001827EB"/>
    <w:rsid w:val="001831F8"/>
    <w:rsid w:val="0018425E"/>
    <w:rsid w:val="00184FE3"/>
    <w:rsid w:val="001852FD"/>
    <w:rsid w:val="0018684A"/>
    <w:rsid w:val="00187010"/>
    <w:rsid w:val="00187786"/>
    <w:rsid w:val="001902EE"/>
    <w:rsid w:val="001907E7"/>
    <w:rsid w:val="00190F8E"/>
    <w:rsid w:val="00191544"/>
    <w:rsid w:val="00191E0F"/>
    <w:rsid w:val="00192158"/>
    <w:rsid w:val="0019262F"/>
    <w:rsid w:val="0019331E"/>
    <w:rsid w:val="00194A28"/>
    <w:rsid w:val="0019560A"/>
    <w:rsid w:val="00196531"/>
    <w:rsid w:val="001977C6"/>
    <w:rsid w:val="00197CD7"/>
    <w:rsid w:val="001A0255"/>
    <w:rsid w:val="001A1C1D"/>
    <w:rsid w:val="001A260D"/>
    <w:rsid w:val="001A3C25"/>
    <w:rsid w:val="001A413C"/>
    <w:rsid w:val="001A467A"/>
    <w:rsid w:val="001A4A80"/>
    <w:rsid w:val="001A691F"/>
    <w:rsid w:val="001A7346"/>
    <w:rsid w:val="001A782C"/>
    <w:rsid w:val="001A7F96"/>
    <w:rsid w:val="001B020A"/>
    <w:rsid w:val="001B07EF"/>
    <w:rsid w:val="001B1624"/>
    <w:rsid w:val="001B20ED"/>
    <w:rsid w:val="001B2EA9"/>
    <w:rsid w:val="001B329C"/>
    <w:rsid w:val="001B3D48"/>
    <w:rsid w:val="001B4D5F"/>
    <w:rsid w:val="001B51CA"/>
    <w:rsid w:val="001B6F11"/>
    <w:rsid w:val="001B74A0"/>
    <w:rsid w:val="001B7D34"/>
    <w:rsid w:val="001C2B09"/>
    <w:rsid w:val="001C2D60"/>
    <w:rsid w:val="001C39C6"/>
    <w:rsid w:val="001C3E8E"/>
    <w:rsid w:val="001C3EB0"/>
    <w:rsid w:val="001C4B04"/>
    <w:rsid w:val="001C5601"/>
    <w:rsid w:val="001C7AFA"/>
    <w:rsid w:val="001D0345"/>
    <w:rsid w:val="001D0836"/>
    <w:rsid w:val="001D0DB4"/>
    <w:rsid w:val="001D1582"/>
    <w:rsid w:val="001D191F"/>
    <w:rsid w:val="001D1A54"/>
    <w:rsid w:val="001D3E01"/>
    <w:rsid w:val="001D3E9B"/>
    <w:rsid w:val="001D4138"/>
    <w:rsid w:val="001D4273"/>
    <w:rsid w:val="001D4BF1"/>
    <w:rsid w:val="001D596D"/>
    <w:rsid w:val="001D5A08"/>
    <w:rsid w:val="001D5DF5"/>
    <w:rsid w:val="001D6719"/>
    <w:rsid w:val="001D6968"/>
    <w:rsid w:val="001D6DD5"/>
    <w:rsid w:val="001D6E93"/>
    <w:rsid w:val="001E06B8"/>
    <w:rsid w:val="001E06C1"/>
    <w:rsid w:val="001E31F4"/>
    <w:rsid w:val="001E3AD4"/>
    <w:rsid w:val="001E48A9"/>
    <w:rsid w:val="001E4E0C"/>
    <w:rsid w:val="001E52D2"/>
    <w:rsid w:val="001E68A4"/>
    <w:rsid w:val="001E7C0B"/>
    <w:rsid w:val="001F0326"/>
    <w:rsid w:val="001F04DD"/>
    <w:rsid w:val="001F0ABA"/>
    <w:rsid w:val="001F0ED0"/>
    <w:rsid w:val="001F1EBC"/>
    <w:rsid w:val="001F1EE3"/>
    <w:rsid w:val="001F214B"/>
    <w:rsid w:val="001F3ACE"/>
    <w:rsid w:val="001F44CD"/>
    <w:rsid w:val="001F5D18"/>
    <w:rsid w:val="001F5D88"/>
    <w:rsid w:val="001F7C08"/>
    <w:rsid w:val="00200483"/>
    <w:rsid w:val="002024FE"/>
    <w:rsid w:val="00202F7C"/>
    <w:rsid w:val="00203F2F"/>
    <w:rsid w:val="002040EE"/>
    <w:rsid w:val="00204663"/>
    <w:rsid w:val="002047C3"/>
    <w:rsid w:val="00205381"/>
    <w:rsid w:val="00205780"/>
    <w:rsid w:val="0020636F"/>
    <w:rsid w:val="0020650D"/>
    <w:rsid w:val="00206E30"/>
    <w:rsid w:val="002072A0"/>
    <w:rsid w:val="00210736"/>
    <w:rsid w:val="00211F36"/>
    <w:rsid w:val="002121E4"/>
    <w:rsid w:val="00212A8F"/>
    <w:rsid w:val="00212FB5"/>
    <w:rsid w:val="002139D9"/>
    <w:rsid w:val="00213AA1"/>
    <w:rsid w:val="00213C96"/>
    <w:rsid w:val="002143B8"/>
    <w:rsid w:val="002147A4"/>
    <w:rsid w:val="00216F2D"/>
    <w:rsid w:val="00217179"/>
    <w:rsid w:val="00217D7D"/>
    <w:rsid w:val="00222CEA"/>
    <w:rsid w:val="00223AD8"/>
    <w:rsid w:val="0022416C"/>
    <w:rsid w:val="0022719B"/>
    <w:rsid w:val="0022747B"/>
    <w:rsid w:val="00227862"/>
    <w:rsid w:val="00227983"/>
    <w:rsid w:val="00227C75"/>
    <w:rsid w:val="00230BC6"/>
    <w:rsid w:val="00231DBB"/>
    <w:rsid w:val="002321D2"/>
    <w:rsid w:val="00233F99"/>
    <w:rsid w:val="002353A0"/>
    <w:rsid w:val="002353F0"/>
    <w:rsid w:val="00236722"/>
    <w:rsid w:val="002406FD"/>
    <w:rsid w:val="00241A1D"/>
    <w:rsid w:val="00242220"/>
    <w:rsid w:val="00243599"/>
    <w:rsid w:val="002437B7"/>
    <w:rsid w:val="00244DF9"/>
    <w:rsid w:val="00247417"/>
    <w:rsid w:val="00250C9F"/>
    <w:rsid w:val="002517CB"/>
    <w:rsid w:val="00251A85"/>
    <w:rsid w:val="0025269A"/>
    <w:rsid w:val="00253348"/>
    <w:rsid w:val="00254D91"/>
    <w:rsid w:val="00255E19"/>
    <w:rsid w:val="00256B91"/>
    <w:rsid w:val="00256FEB"/>
    <w:rsid w:val="00257A1A"/>
    <w:rsid w:val="00260E07"/>
    <w:rsid w:val="00261347"/>
    <w:rsid w:val="002615E1"/>
    <w:rsid w:val="00261951"/>
    <w:rsid w:val="00262446"/>
    <w:rsid w:val="002628C9"/>
    <w:rsid w:val="002630C5"/>
    <w:rsid w:val="00264D58"/>
    <w:rsid w:val="002669F0"/>
    <w:rsid w:val="00266E59"/>
    <w:rsid w:val="00267838"/>
    <w:rsid w:val="0026783C"/>
    <w:rsid w:val="00270DA4"/>
    <w:rsid w:val="00270DAB"/>
    <w:rsid w:val="0027127B"/>
    <w:rsid w:val="002731AA"/>
    <w:rsid w:val="00273240"/>
    <w:rsid w:val="00273C47"/>
    <w:rsid w:val="00273D29"/>
    <w:rsid w:val="00274BE0"/>
    <w:rsid w:val="00275899"/>
    <w:rsid w:val="002759D8"/>
    <w:rsid w:val="00275A6E"/>
    <w:rsid w:val="00276335"/>
    <w:rsid w:val="00276448"/>
    <w:rsid w:val="002767E9"/>
    <w:rsid w:val="00277773"/>
    <w:rsid w:val="0028088A"/>
    <w:rsid w:val="00281E3F"/>
    <w:rsid w:val="00283FD2"/>
    <w:rsid w:val="002849EA"/>
    <w:rsid w:val="00284E64"/>
    <w:rsid w:val="00285BDF"/>
    <w:rsid w:val="00285CA3"/>
    <w:rsid w:val="0028638A"/>
    <w:rsid w:val="002863FA"/>
    <w:rsid w:val="002873DB"/>
    <w:rsid w:val="0028764D"/>
    <w:rsid w:val="00287E91"/>
    <w:rsid w:val="00290CC0"/>
    <w:rsid w:val="00291C33"/>
    <w:rsid w:val="00292BFE"/>
    <w:rsid w:val="00293338"/>
    <w:rsid w:val="0029349C"/>
    <w:rsid w:val="00293B0F"/>
    <w:rsid w:val="00293D52"/>
    <w:rsid w:val="00293E30"/>
    <w:rsid w:val="002944C3"/>
    <w:rsid w:val="00294793"/>
    <w:rsid w:val="00294A3F"/>
    <w:rsid w:val="00294AA3"/>
    <w:rsid w:val="002950A6"/>
    <w:rsid w:val="00296053"/>
    <w:rsid w:val="002970AE"/>
    <w:rsid w:val="00297372"/>
    <w:rsid w:val="002A040E"/>
    <w:rsid w:val="002A15B6"/>
    <w:rsid w:val="002A1B55"/>
    <w:rsid w:val="002A397B"/>
    <w:rsid w:val="002A6DD8"/>
    <w:rsid w:val="002A7030"/>
    <w:rsid w:val="002A73D6"/>
    <w:rsid w:val="002B06E0"/>
    <w:rsid w:val="002B5F31"/>
    <w:rsid w:val="002B657F"/>
    <w:rsid w:val="002B6E03"/>
    <w:rsid w:val="002B7535"/>
    <w:rsid w:val="002B7573"/>
    <w:rsid w:val="002B797A"/>
    <w:rsid w:val="002B7EA1"/>
    <w:rsid w:val="002B7FC0"/>
    <w:rsid w:val="002C2826"/>
    <w:rsid w:val="002C3E78"/>
    <w:rsid w:val="002C4597"/>
    <w:rsid w:val="002C4C57"/>
    <w:rsid w:val="002C64A3"/>
    <w:rsid w:val="002C65C2"/>
    <w:rsid w:val="002C6D4C"/>
    <w:rsid w:val="002D25B6"/>
    <w:rsid w:val="002D347B"/>
    <w:rsid w:val="002D3F8C"/>
    <w:rsid w:val="002D41DB"/>
    <w:rsid w:val="002D665E"/>
    <w:rsid w:val="002D6943"/>
    <w:rsid w:val="002D7E20"/>
    <w:rsid w:val="002D7F0C"/>
    <w:rsid w:val="002E008D"/>
    <w:rsid w:val="002E085F"/>
    <w:rsid w:val="002E100A"/>
    <w:rsid w:val="002E130A"/>
    <w:rsid w:val="002E3038"/>
    <w:rsid w:val="002E385D"/>
    <w:rsid w:val="002E41F3"/>
    <w:rsid w:val="002E42B4"/>
    <w:rsid w:val="002E4375"/>
    <w:rsid w:val="002E56CF"/>
    <w:rsid w:val="002E6AE1"/>
    <w:rsid w:val="002E6BD1"/>
    <w:rsid w:val="002E75C5"/>
    <w:rsid w:val="002E7C10"/>
    <w:rsid w:val="002F0AD1"/>
    <w:rsid w:val="002F1ED6"/>
    <w:rsid w:val="002F300B"/>
    <w:rsid w:val="002F3842"/>
    <w:rsid w:val="002F3C59"/>
    <w:rsid w:val="002F42A5"/>
    <w:rsid w:val="002F475E"/>
    <w:rsid w:val="002F5213"/>
    <w:rsid w:val="002F5314"/>
    <w:rsid w:val="002F559F"/>
    <w:rsid w:val="002F63F8"/>
    <w:rsid w:val="002F6F15"/>
    <w:rsid w:val="002F7707"/>
    <w:rsid w:val="0030137B"/>
    <w:rsid w:val="003015F4"/>
    <w:rsid w:val="00301860"/>
    <w:rsid w:val="0030189B"/>
    <w:rsid w:val="003023E7"/>
    <w:rsid w:val="003025AF"/>
    <w:rsid w:val="00302A78"/>
    <w:rsid w:val="00302CBA"/>
    <w:rsid w:val="00303217"/>
    <w:rsid w:val="00303D05"/>
    <w:rsid w:val="00307224"/>
    <w:rsid w:val="003103C7"/>
    <w:rsid w:val="003111C0"/>
    <w:rsid w:val="00311C40"/>
    <w:rsid w:val="00311F46"/>
    <w:rsid w:val="00312DEA"/>
    <w:rsid w:val="00312E48"/>
    <w:rsid w:val="003139B4"/>
    <w:rsid w:val="00314453"/>
    <w:rsid w:val="003149AE"/>
    <w:rsid w:val="00315596"/>
    <w:rsid w:val="003169C3"/>
    <w:rsid w:val="00316FFD"/>
    <w:rsid w:val="00317653"/>
    <w:rsid w:val="00317656"/>
    <w:rsid w:val="00317EEF"/>
    <w:rsid w:val="003200BC"/>
    <w:rsid w:val="00320BC3"/>
    <w:rsid w:val="00321CC9"/>
    <w:rsid w:val="00322BBA"/>
    <w:rsid w:val="00322CD9"/>
    <w:rsid w:val="00323C32"/>
    <w:rsid w:val="00324B13"/>
    <w:rsid w:val="003256FC"/>
    <w:rsid w:val="0032641B"/>
    <w:rsid w:val="00326B00"/>
    <w:rsid w:val="00327407"/>
    <w:rsid w:val="00327ED7"/>
    <w:rsid w:val="00330875"/>
    <w:rsid w:val="00330AA7"/>
    <w:rsid w:val="0033245C"/>
    <w:rsid w:val="003333CE"/>
    <w:rsid w:val="00333774"/>
    <w:rsid w:val="00335830"/>
    <w:rsid w:val="0033588B"/>
    <w:rsid w:val="00335C68"/>
    <w:rsid w:val="00335EFB"/>
    <w:rsid w:val="00337DF2"/>
    <w:rsid w:val="00337F81"/>
    <w:rsid w:val="00340561"/>
    <w:rsid w:val="00340C99"/>
    <w:rsid w:val="003413ED"/>
    <w:rsid w:val="00344605"/>
    <w:rsid w:val="0034602E"/>
    <w:rsid w:val="003465AB"/>
    <w:rsid w:val="003466B4"/>
    <w:rsid w:val="003467D0"/>
    <w:rsid w:val="00347AEB"/>
    <w:rsid w:val="00347B43"/>
    <w:rsid w:val="00347E40"/>
    <w:rsid w:val="00350209"/>
    <w:rsid w:val="0035098C"/>
    <w:rsid w:val="00350A90"/>
    <w:rsid w:val="00350DD6"/>
    <w:rsid w:val="0035296D"/>
    <w:rsid w:val="00354217"/>
    <w:rsid w:val="00354445"/>
    <w:rsid w:val="0035611B"/>
    <w:rsid w:val="00356786"/>
    <w:rsid w:val="003579AF"/>
    <w:rsid w:val="00357D6B"/>
    <w:rsid w:val="0036155F"/>
    <w:rsid w:val="00361DC0"/>
    <w:rsid w:val="00363089"/>
    <w:rsid w:val="0036426F"/>
    <w:rsid w:val="003645CF"/>
    <w:rsid w:val="00364B78"/>
    <w:rsid w:val="0036562D"/>
    <w:rsid w:val="00366A3C"/>
    <w:rsid w:val="00367493"/>
    <w:rsid w:val="00367E2E"/>
    <w:rsid w:val="00370033"/>
    <w:rsid w:val="003702FA"/>
    <w:rsid w:val="00370A77"/>
    <w:rsid w:val="00371632"/>
    <w:rsid w:val="00372C8F"/>
    <w:rsid w:val="0037343B"/>
    <w:rsid w:val="003738E2"/>
    <w:rsid w:val="00373915"/>
    <w:rsid w:val="003752C2"/>
    <w:rsid w:val="003753CE"/>
    <w:rsid w:val="00375C52"/>
    <w:rsid w:val="00376055"/>
    <w:rsid w:val="003768C8"/>
    <w:rsid w:val="00376F61"/>
    <w:rsid w:val="003776C1"/>
    <w:rsid w:val="00380020"/>
    <w:rsid w:val="00380A78"/>
    <w:rsid w:val="00380D23"/>
    <w:rsid w:val="00380F42"/>
    <w:rsid w:val="00384BED"/>
    <w:rsid w:val="00384D58"/>
    <w:rsid w:val="00386899"/>
    <w:rsid w:val="00387DCE"/>
    <w:rsid w:val="00387FE7"/>
    <w:rsid w:val="00390663"/>
    <w:rsid w:val="0039105B"/>
    <w:rsid w:val="003914A3"/>
    <w:rsid w:val="00391574"/>
    <w:rsid w:val="00391BB4"/>
    <w:rsid w:val="00392F1F"/>
    <w:rsid w:val="00394888"/>
    <w:rsid w:val="00394B19"/>
    <w:rsid w:val="0039561A"/>
    <w:rsid w:val="00395E88"/>
    <w:rsid w:val="00395E9C"/>
    <w:rsid w:val="003960B0"/>
    <w:rsid w:val="003961CA"/>
    <w:rsid w:val="00396ACC"/>
    <w:rsid w:val="00396D10"/>
    <w:rsid w:val="003A0359"/>
    <w:rsid w:val="003A06DE"/>
    <w:rsid w:val="003A15C3"/>
    <w:rsid w:val="003A1FA2"/>
    <w:rsid w:val="003A24CE"/>
    <w:rsid w:val="003A28FD"/>
    <w:rsid w:val="003A4DBB"/>
    <w:rsid w:val="003A528B"/>
    <w:rsid w:val="003A67DD"/>
    <w:rsid w:val="003A70CF"/>
    <w:rsid w:val="003B061F"/>
    <w:rsid w:val="003B1729"/>
    <w:rsid w:val="003B2020"/>
    <w:rsid w:val="003B3E69"/>
    <w:rsid w:val="003B4112"/>
    <w:rsid w:val="003B63F8"/>
    <w:rsid w:val="003B7031"/>
    <w:rsid w:val="003B7A80"/>
    <w:rsid w:val="003C0D74"/>
    <w:rsid w:val="003C208C"/>
    <w:rsid w:val="003C20F9"/>
    <w:rsid w:val="003C3132"/>
    <w:rsid w:val="003C357C"/>
    <w:rsid w:val="003C41C0"/>
    <w:rsid w:val="003C42A6"/>
    <w:rsid w:val="003C530A"/>
    <w:rsid w:val="003C5435"/>
    <w:rsid w:val="003C6AE3"/>
    <w:rsid w:val="003C7AD3"/>
    <w:rsid w:val="003D0395"/>
    <w:rsid w:val="003D059E"/>
    <w:rsid w:val="003D0E4B"/>
    <w:rsid w:val="003D11B0"/>
    <w:rsid w:val="003D2004"/>
    <w:rsid w:val="003D2E3C"/>
    <w:rsid w:val="003D3C73"/>
    <w:rsid w:val="003D40A1"/>
    <w:rsid w:val="003D5A76"/>
    <w:rsid w:val="003D6C27"/>
    <w:rsid w:val="003D727C"/>
    <w:rsid w:val="003E045A"/>
    <w:rsid w:val="003E084D"/>
    <w:rsid w:val="003E1055"/>
    <w:rsid w:val="003E22D2"/>
    <w:rsid w:val="003E26BD"/>
    <w:rsid w:val="003E3D48"/>
    <w:rsid w:val="003E44EB"/>
    <w:rsid w:val="003E5046"/>
    <w:rsid w:val="003E518C"/>
    <w:rsid w:val="003E7371"/>
    <w:rsid w:val="003F083D"/>
    <w:rsid w:val="003F1853"/>
    <w:rsid w:val="003F285A"/>
    <w:rsid w:val="003F3181"/>
    <w:rsid w:val="003F381A"/>
    <w:rsid w:val="003F4A43"/>
    <w:rsid w:val="003F5026"/>
    <w:rsid w:val="003F50AD"/>
    <w:rsid w:val="003F5B1C"/>
    <w:rsid w:val="003F5EE6"/>
    <w:rsid w:val="003F6C1B"/>
    <w:rsid w:val="003F7E6E"/>
    <w:rsid w:val="004019E8"/>
    <w:rsid w:val="00401DE5"/>
    <w:rsid w:val="00402308"/>
    <w:rsid w:val="004026C2"/>
    <w:rsid w:val="00403050"/>
    <w:rsid w:val="00403B8E"/>
    <w:rsid w:val="0040439A"/>
    <w:rsid w:val="00404FCA"/>
    <w:rsid w:val="004059AA"/>
    <w:rsid w:val="00406C4D"/>
    <w:rsid w:val="00406D3A"/>
    <w:rsid w:val="004076F6"/>
    <w:rsid w:val="00407C96"/>
    <w:rsid w:val="004110C3"/>
    <w:rsid w:val="0041112C"/>
    <w:rsid w:val="00413764"/>
    <w:rsid w:val="0041528D"/>
    <w:rsid w:val="00415311"/>
    <w:rsid w:val="004172F5"/>
    <w:rsid w:val="0041766E"/>
    <w:rsid w:val="0041792E"/>
    <w:rsid w:val="0041796F"/>
    <w:rsid w:val="004244CF"/>
    <w:rsid w:val="0042537F"/>
    <w:rsid w:val="00426092"/>
    <w:rsid w:val="00426DA7"/>
    <w:rsid w:val="00426E2A"/>
    <w:rsid w:val="00427F97"/>
    <w:rsid w:val="0043079A"/>
    <w:rsid w:val="00430E2A"/>
    <w:rsid w:val="00431EBD"/>
    <w:rsid w:val="00431F8C"/>
    <w:rsid w:val="00432003"/>
    <w:rsid w:val="004324AB"/>
    <w:rsid w:val="00432758"/>
    <w:rsid w:val="0043297E"/>
    <w:rsid w:val="0043379D"/>
    <w:rsid w:val="00434536"/>
    <w:rsid w:val="00436400"/>
    <w:rsid w:val="004366B9"/>
    <w:rsid w:val="0043702E"/>
    <w:rsid w:val="00437F08"/>
    <w:rsid w:val="00441A25"/>
    <w:rsid w:val="00441BE4"/>
    <w:rsid w:val="00441CC3"/>
    <w:rsid w:val="00442240"/>
    <w:rsid w:val="00443004"/>
    <w:rsid w:val="004435B3"/>
    <w:rsid w:val="00446101"/>
    <w:rsid w:val="0044622C"/>
    <w:rsid w:val="004468C8"/>
    <w:rsid w:val="00450691"/>
    <w:rsid w:val="00452B0C"/>
    <w:rsid w:val="004541BA"/>
    <w:rsid w:val="00454707"/>
    <w:rsid w:val="0045473D"/>
    <w:rsid w:val="004555DF"/>
    <w:rsid w:val="0045625B"/>
    <w:rsid w:val="00456DF9"/>
    <w:rsid w:val="0045741F"/>
    <w:rsid w:val="00460562"/>
    <w:rsid w:val="00460C13"/>
    <w:rsid w:val="00461C1B"/>
    <w:rsid w:val="00462382"/>
    <w:rsid w:val="00463ACF"/>
    <w:rsid w:val="00463AE2"/>
    <w:rsid w:val="00464AA0"/>
    <w:rsid w:val="00464C7C"/>
    <w:rsid w:val="004657DF"/>
    <w:rsid w:val="00465E20"/>
    <w:rsid w:val="00465FFA"/>
    <w:rsid w:val="0046770D"/>
    <w:rsid w:val="004679EC"/>
    <w:rsid w:val="00467D6E"/>
    <w:rsid w:val="0047081D"/>
    <w:rsid w:val="00470EB1"/>
    <w:rsid w:val="00470FB0"/>
    <w:rsid w:val="00471295"/>
    <w:rsid w:val="00471776"/>
    <w:rsid w:val="00472012"/>
    <w:rsid w:val="00472BB0"/>
    <w:rsid w:val="0047334F"/>
    <w:rsid w:val="00474AED"/>
    <w:rsid w:val="004756BD"/>
    <w:rsid w:val="004761CA"/>
    <w:rsid w:val="0047622C"/>
    <w:rsid w:val="004775DB"/>
    <w:rsid w:val="004777BC"/>
    <w:rsid w:val="00481765"/>
    <w:rsid w:val="00482187"/>
    <w:rsid w:val="004829F0"/>
    <w:rsid w:val="00483701"/>
    <w:rsid w:val="004849EE"/>
    <w:rsid w:val="004857FA"/>
    <w:rsid w:val="00495333"/>
    <w:rsid w:val="00495579"/>
    <w:rsid w:val="00495625"/>
    <w:rsid w:val="0049566D"/>
    <w:rsid w:val="004958D4"/>
    <w:rsid w:val="0049627D"/>
    <w:rsid w:val="0049799C"/>
    <w:rsid w:val="004A10DA"/>
    <w:rsid w:val="004A1895"/>
    <w:rsid w:val="004A2678"/>
    <w:rsid w:val="004A2870"/>
    <w:rsid w:val="004A2F51"/>
    <w:rsid w:val="004A38F8"/>
    <w:rsid w:val="004A4034"/>
    <w:rsid w:val="004A5087"/>
    <w:rsid w:val="004A5D9B"/>
    <w:rsid w:val="004A6B1C"/>
    <w:rsid w:val="004A76B2"/>
    <w:rsid w:val="004B129A"/>
    <w:rsid w:val="004B1884"/>
    <w:rsid w:val="004B22AB"/>
    <w:rsid w:val="004B22BB"/>
    <w:rsid w:val="004B23FC"/>
    <w:rsid w:val="004B2E81"/>
    <w:rsid w:val="004B3298"/>
    <w:rsid w:val="004B3D63"/>
    <w:rsid w:val="004B42F7"/>
    <w:rsid w:val="004B4B3D"/>
    <w:rsid w:val="004B4D9E"/>
    <w:rsid w:val="004B5603"/>
    <w:rsid w:val="004B655F"/>
    <w:rsid w:val="004B6E2B"/>
    <w:rsid w:val="004B77BE"/>
    <w:rsid w:val="004C106B"/>
    <w:rsid w:val="004C383C"/>
    <w:rsid w:val="004C399A"/>
    <w:rsid w:val="004C3A72"/>
    <w:rsid w:val="004C3EAD"/>
    <w:rsid w:val="004C3F17"/>
    <w:rsid w:val="004C4921"/>
    <w:rsid w:val="004C4DDA"/>
    <w:rsid w:val="004C5599"/>
    <w:rsid w:val="004C63B3"/>
    <w:rsid w:val="004C6B00"/>
    <w:rsid w:val="004C7B9E"/>
    <w:rsid w:val="004C7BE5"/>
    <w:rsid w:val="004D0CD9"/>
    <w:rsid w:val="004D1A19"/>
    <w:rsid w:val="004D1CF1"/>
    <w:rsid w:val="004D2495"/>
    <w:rsid w:val="004D2D7B"/>
    <w:rsid w:val="004D3E97"/>
    <w:rsid w:val="004D4A31"/>
    <w:rsid w:val="004D58EF"/>
    <w:rsid w:val="004D609E"/>
    <w:rsid w:val="004D6524"/>
    <w:rsid w:val="004D6DD5"/>
    <w:rsid w:val="004D74B5"/>
    <w:rsid w:val="004D77FF"/>
    <w:rsid w:val="004D7D31"/>
    <w:rsid w:val="004E0657"/>
    <w:rsid w:val="004E1DE0"/>
    <w:rsid w:val="004E21DA"/>
    <w:rsid w:val="004E34E4"/>
    <w:rsid w:val="004E649D"/>
    <w:rsid w:val="004E6740"/>
    <w:rsid w:val="004E7CC8"/>
    <w:rsid w:val="004E7E4B"/>
    <w:rsid w:val="004F1F86"/>
    <w:rsid w:val="004F3696"/>
    <w:rsid w:val="004F3CCD"/>
    <w:rsid w:val="004F629C"/>
    <w:rsid w:val="004F65F3"/>
    <w:rsid w:val="004F7124"/>
    <w:rsid w:val="004F7AB3"/>
    <w:rsid w:val="004F7CBF"/>
    <w:rsid w:val="0050050F"/>
    <w:rsid w:val="00503515"/>
    <w:rsid w:val="00503A0B"/>
    <w:rsid w:val="005045BA"/>
    <w:rsid w:val="0050517E"/>
    <w:rsid w:val="00506B0B"/>
    <w:rsid w:val="00511E39"/>
    <w:rsid w:val="0051220E"/>
    <w:rsid w:val="005128E2"/>
    <w:rsid w:val="00512964"/>
    <w:rsid w:val="00512E93"/>
    <w:rsid w:val="005146D0"/>
    <w:rsid w:val="00514B4D"/>
    <w:rsid w:val="005150AE"/>
    <w:rsid w:val="00515E67"/>
    <w:rsid w:val="005161E0"/>
    <w:rsid w:val="0051699E"/>
    <w:rsid w:val="00516E77"/>
    <w:rsid w:val="00520C0E"/>
    <w:rsid w:val="00522454"/>
    <w:rsid w:val="00522FCC"/>
    <w:rsid w:val="00523AF5"/>
    <w:rsid w:val="005256AE"/>
    <w:rsid w:val="005260DD"/>
    <w:rsid w:val="00526A70"/>
    <w:rsid w:val="00526F81"/>
    <w:rsid w:val="0053000A"/>
    <w:rsid w:val="00530180"/>
    <w:rsid w:val="005325BB"/>
    <w:rsid w:val="005331B5"/>
    <w:rsid w:val="00533275"/>
    <w:rsid w:val="00534D6A"/>
    <w:rsid w:val="00534DC6"/>
    <w:rsid w:val="00536338"/>
    <w:rsid w:val="0053653F"/>
    <w:rsid w:val="00536DB2"/>
    <w:rsid w:val="0053705D"/>
    <w:rsid w:val="00537500"/>
    <w:rsid w:val="0053764F"/>
    <w:rsid w:val="0053768E"/>
    <w:rsid w:val="00537C91"/>
    <w:rsid w:val="00542E82"/>
    <w:rsid w:val="00543F2C"/>
    <w:rsid w:val="00545FE4"/>
    <w:rsid w:val="0054608A"/>
    <w:rsid w:val="005477D2"/>
    <w:rsid w:val="00547951"/>
    <w:rsid w:val="0055003C"/>
    <w:rsid w:val="005500E1"/>
    <w:rsid w:val="00550226"/>
    <w:rsid w:val="00550F75"/>
    <w:rsid w:val="005527A1"/>
    <w:rsid w:val="00552BF2"/>
    <w:rsid w:val="00552D13"/>
    <w:rsid w:val="0055405A"/>
    <w:rsid w:val="005545CC"/>
    <w:rsid w:val="00554E82"/>
    <w:rsid w:val="0055560A"/>
    <w:rsid w:val="005559FB"/>
    <w:rsid w:val="00555D62"/>
    <w:rsid w:val="00555E67"/>
    <w:rsid w:val="00556104"/>
    <w:rsid w:val="005562E8"/>
    <w:rsid w:val="0056067E"/>
    <w:rsid w:val="00562784"/>
    <w:rsid w:val="00563B2E"/>
    <w:rsid w:val="00564608"/>
    <w:rsid w:val="00564C24"/>
    <w:rsid w:val="005652CD"/>
    <w:rsid w:val="00566B3D"/>
    <w:rsid w:val="00567490"/>
    <w:rsid w:val="005675F6"/>
    <w:rsid w:val="005716D4"/>
    <w:rsid w:val="00573611"/>
    <w:rsid w:val="00573E44"/>
    <w:rsid w:val="00573ED8"/>
    <w:rsid w:val="00575077"/>
    <w:rsid w:val="00575249"/>
    <w:rsid w:val="0057586E"/>
    <w:rsid w:val="00576CB9"/>
    <w:rsid w:val="005773B7"/>
    <w:rsid w:val="005778D9"/>
    <w:rsid w:val="00580EFA"/>
    <w:rsid w:val="00580F26"/>
    <w:rsid w:val="00581358"/>
    <w:rsid w:val="005815AC"/>
    <w:rsid w:val="00582FF2"/>
    <w:rsid w:val="00584595"/>
    <w:rsid w:val="005847DE"/>
    <w:rsid w:val="00584E99"/>
    <w:rsid w:val="0058505C"/>
    <w:rsid w:val="00585633"/>
    <w:rsid w:val="0058572B"/>
    <w:rsid w:val="005866B0"/>
    <w:rsid w:val="00586FD7"/>
    <w:rsid w:val="0058718A"/>
    <w:rsid w:val="00587263"/>
    <w:rsid w:val="00587B97"/>
    <w:rsid w:val="00590425"/>
    <w:rsid w:val="00590EAF"/>
    <w:rsid w:val="00591040"/>
    <w:rsid w:val="0059141D"/>
    <w:rsid w:val="00591753"/>
    <w:rsid w:val="00592002"/>
    <w:rsid w:val="00592C4D"/>
    <w:rsid w:val="00594039"/>
    <w:rsid w:val="005948BF"/>
    <w:rsid w:val="00595E9D"/>
    <w:rsid w:val="005971BD"/>
    <w:rsid w:val="005975F7"/>
    <w:rsid w:val="00597D02"/>
    <w:rsid w:val="005A005F"/>
    <w:rsid w:val="005A05B3"/>
    <w:rsid w:val="005A0B1A"/>
    <w:rsid w:val="005A12A2"/>
    <w:rsid w:val="005A3360"/>
    <w:rsid w:val="005A434C"/>
    <w:rsid w:val="005A45D1"/>
    <w:rsid w:val="005A50B5"/>
    <w:rsid w:val="005A5B9D"/>
    <w:rsid w:val="005A6298"/>
    <w:rsid w:val="005A62F3"/>
    <w:rsid w:val="005A647C"/>
    <w:rsid w:val="005A6FF7"/>
    <w:rsid w:val="005A786A"/>
    <w:rsid w:val="005A79AF"/>
    <w:rsid w:val="005B0319"/>
    <w:rsid w:val="005B072E"/>
    <w:rsid w:val="005B37E8"/>
    <w:rsid w:val="005B3DA6"/>
    <w:rsid w:val="005B457D"/>
    <w:rsid w:val="005B4C86"/>
    <w:rsid w:val="005B5078"/>
    <w:rsid w:val="005B50A7"/>
    <w:rsid w:val="005B62B4"/>
    <w:rsid w:val="005B7E68"/>
    <w:rsid w:val="005C028F"/>
    <w:rsid w:val="005C07CF"/>
    <w:rsid w:val="005C0E0D"/>
    <w:rsid w:val="005C13E0"/>
    <w:rsid w:val="005C25C9"/>
    <w:rsid w:val="005C5768"/>
    <w:rsid w:val="005C720F"/>
    <w:rsid w:val="005C769B"/>
    <w:rsid w:val="005C7812"/>
    <w:rsid w:val="005D08A9"/>
    <w:rsid w:val="005D0F02"/>
    <w:rsid w:val="005D1058"/>
    <w:rsid w:val="005D17B4"/>
    <w:rsid w:val="005D182C"/>
    <w:rsid w:val="005D1E1B"/>
    <w:rsid w:val="005D2096"/>
    <w:rsid w:val="005D30E7"/>
    <w:rsid w:val="005D34CB"/>
    <w:rsid w:val="005D3A41"/>
    <w:rsid w:val="005D4739"/>
    <w:rsid w:val="005D57D4"/>
    <w:rsid w:val="005D57F7"/>
    <w:rsid w:val="005D7015"/>
    <w:rsid w:val="005D7096"/>
    <w:rsid w:val="005D7414"/>
    <w:rsid w:val="005D7AC5"/>
    <w:rsid w:val="005E1520"/>
    <w:rsid w:val="005E1B32"/>
    <w:rsid w:val="005E2172"/>
    <w:rsid w:val="005E3546"/>
    <w:rsid w:val="005E367A"/>
    <w:rsid w:val="005E4038"/>
    <w:rsid w:val="005E44B6"/>
    <w:rsid w:val="005E4AB6"/>
    <w:rsid w:val="005E4BA0"/>
    <w:rsid w:val="005E5A8E"/>
    <w:rsid w:val="005E62BF"/>
    <w:rsid w:val="005E7CBD"/>
    <w:rsid w:val="005F0772"/>
    <w:rsid w:val="005F0F1E"/>
    <w:rsid w:val="005F26CE"/>
    <w:rsid w:val="005F2901"/>
    <w:rsid w:val="005F2B3C"/>
    <w:rsid w:val="005F2B53"/>
    <w:rsid w:val="005F5097"/>
    <w:rsid w:val="005F5B96"/>
    <w:rsid w:val="005F5CBE"/>
    <w:rsid w:val="005F6898"/>
    <w:rsid w:val="005F737B"/>
    <w:rsid w:val="005F7EF4"/>
    <w:rsid w:val="00601391"/>
    <w:rsid w:val="006013F5"/>
    <w:rsid w:val="0060231E"/>
    <w:rsid w:val="00603881"/>
    <w:rsid w:val="00604266"/>
    <w:rsid w:val="00604DBD"/>
    <w:rsid w:val="00605EE1"/>
    <w:rsid w:val="0061046A"/>
    <w:rsid w:val="0061057B"/>
    <w:rsid w:val="00610A66"/>
    <w:rsid w:val="00610FE8"/>
    <w:rsid w:val="00611D76"/>
    <w:rsid w:val="00612181"/>
    <w:rsid w:val="00612F14"/>
    <w:rsid w:val="00613A0F"/>
    <w:rsid w:val="00613E2A"/>
    <w:rsid w:val="006147B2"/>
    <w:rsid w:val="00614E59"/>
    <w:rsid w:val="00614FB0"/>
    <w:rsid w:val="006151C2"/>
    <w:rsid w:val="006159A8"/>
    <w:rsid w:val="00615A7F"/>
    <w:rsid w:val="00615E51"/>
    <w:rsid w:val="00616230"/>
    <w:rsid w:val="00617360"/>
    <w:rsid w:val="006201E5"/>
    <w:rsid w:val="006203BF"/>
    <w:rsid w:val="0062065A"/>
    <w:rsid w:val="00620EF5"/>
    <w:rsid w:val="00621CAE"/>
    <w:rsid w:val="00621DFF"/>
    <w:rsid w:val="00622659"/>
    <w:rsid w:val="00622820"/>
    <w:rsid w:val="00623173"/>
    <w:rsid w:val="006245C6"/>
    <w:rsid w:val="006261E5"/>
    <w:rsid w:val="00626344"/>
    <w:rsid w:val="0062695D"/>
    <w:rsid w:val="00626DBB"/>
    <w:rsid w:val="00630682"/>
    <w:rsid w:val="00630B4D"/>
    <w:rsid w:val="0063168A"/>
    <w:rsid w:val="00631AED"/>
    <w:rsid w:val="00632755"/>
    <w:rsid w:val="00632E7C"/>
    <w:rsid w:val="00633322"/>
    <w:rsid w:val="0063345E"/>
    <w:rsid w:val="0063369E"/>
    <w:rsid w:val="00633751"/>
    <w:rsid w:val="006353AD"/>
    <w:rsid w:val="006365E3"/>
    <w:rsid w:val="00637914"/>
    <w:rsid w:val="006379F0"/>
    <w:rsid w:val="00637CAB"/>
    <w:rsid w:val="00637F59"/>
    <w:rsid w:val="00640005"/>
    <w:rsid w:val="0064307C"/>
    <w:rsid w:val="0064320C"/>
    <w:rsid w:val="00644A52"/>
    <w:rsid w:val="006462A6"/>
    <w:rsid w:val="00646858"/>
    <w:rsid w:val="00646A71"/>
    <w:rsid w:val="006477C5"/>
    <w:rsid w:val="0065028A"/>
    <w:rsid w:val="006505EC"/>
    <w:rsid w:val="0065070C"/>
    <w:rsid w:val="006518C6"/>
    <w:rsid w:val="00651AFA"/>
    <w:rsid w:val="006521CA"/>
    <w:rsid w:val="00652C00"/>
    <w:rsid w:val="00654728"/>
    <w:rsid w:val="00655613"/>
    <w:rsid w:val="00655DB8"/>
    <w:rsid w:val="00656447"/>
    <w:rsid w:val="006578E9"/>
    <w:rsid w:val="0066035A"/>
    <w:rsid w:val="00660A9A"/>
    <w:rsid w:val="006618F6"/>
    <w:rsid w:val="00662263"/>
    <w:rsid w:val="00663523"/>
    <w:rsid w:val="00663FFE"/>
    <w:rsid w:val="006642EC"/>
    <w:rsid w:val="00664DED"/>
    <w:rsid w:val="00664F5A"/>
    <w:rsid w:val="00670727"/>
    <w:rsid w:val="00670E3C"/>
    <w:rsid w:val="00671648"/>
    <w:rsid w:val="00671E16"/>
    <w:rsid w:val="00671FB4"/>
    <w:rsid w:val="006722DC"/>
    <w:rsid w:val="00674D7F"/>
    <w:rsid w:val="006754D8"/>
    <w:rsid w:val="00676530"/>
    <w:rsid w:val="00676D45"/>
    <w:rsid w:val="00677668"/>
    <w:rsid w:val="00677711"/>
    <w:rsid w:val="0068034C"/>
    <w:rsid w:val="00680600"/>
    <w:rsid w:val="00682412"/>
    <w:rsid w:val="006829E0"/>
    <w:rsid w:val="00683195"/>
    <w:rsid w:val="006842AF"/>
    <w:rsid w:val="00684521"/>
    <w:rsid w:val="00685ADA"/>
    <w:rsid w:val="00685C99"/>
    <w:rsid w:val="00686378"/>
    <w:rsid w:val="00686787"/>
    <w:rsid w:val="006907E9"/>
    <w:rsid w:val="00690940"/>
    <w:rsid w:val="00691380"/>
    <w:rsid w:val="006919D7"/>
    <w:rsid w:val="00691D0D"/>
    <w:rsid w:val="00695B6C"/>
    <w:rsid w:val="00697F61"/>
    <w:rsid w:val="006A102B"/>
    <w:rsid w:val="006A3100"/>
    <w:rsid w:val="006A35C1"/>
    <w:rsid w:val="006A393D"/>
    <w:rsid w:val="006A3A07"/>
    <w:rsid w:val="006A3A47"/>
    <w:rsid w:val="006A3BA3"/>
    <w:rsid w:val="006A4C48"/>
    <w:rsid w:val="006A584D"/>
    <w:rsid w:val="006A5934"/>
    <w:rsid w:val="006A6A34"/>
    <w:rsid w:val="006A704D"/>
    <w:rsid w:val="006B0F6D"/>
    <w:rsid w:val="006B19CC"/>
    <w:rsid w:val="006B1E00"/>
    <w:rsid w:val="006B272F"/>
    <w:rsid w:val="006B29CD"/>
    <w:rsid w:val="006B39E3"/>
    <w:rsid w:val="006B551C"/>
    <w:rsid w:val="006B5CFF"/>
    <w:rsid w:val="006B739F"/>
    <w:rsid w:val="006B7AB5"/>
    <w:rsid w:val="006C0605"/>
    <w:rsid w:val="006C12DF"/>
    <w:rsid w:val="006C22C7"/>
    <w:rsid w:val="006C3165"/>
    <w:rsid w:val="006C3591"/>
    <w:rsid w:val="006C3807"/>
    <w:rsid w:val="006C3A49"/>
    <w:rsid w:val="006C47AE"/>
    <w:rsid w:val="006C671B"/>
    <w:rsid w:val="006C6C0D"/>
    <w:rsid w:val="006C769B"/>
    <w:rsid w:val="006D03AB"/>
    <w:rsid w:val="006D0B6D"/>
    <w:rsid w:val="006D0FDD"/>
    <w:rsid w:val="006D1955"/>
    <w:rsid w:val="006D1AD2"/>
    <w:rsid w:val="006D341F"/>
    <w:rsid w:val="006D435C"/>
    <w:rsid w:val="006D513D"/>
    <w:rsid w:val="006D55FC"/>
    <w:rsid w:val="006D5EDF"/>
    <w:rsid w:val="006D6135"/>
    <w:rsid w:val="006D70CC"/>
    <w:rsid w:val="006D7388"/>
    <w:rsid w:val="006D73DC"/>
    <w:rsid w:val="006E082E"/>
    <w:rsid w:val="006E1781"/>
    <w:rsid w:val="006E17BA"/>
    <w:rsid w:val="006E1ED0"/>
    <w:rsid w:val="006E2910"/>
    <w:rsid w:val="006E6115"/>
    <w:rsid w:val="006E6825"/>
    <w:rsid w:val="006E69B8"/>
    <w:rsid w:val="006F2906"/>
    <w:rsid w:val="006F5BEE"/>
    <w:rsid w:val="006F5D3B"/>
    <w:rsid w:val="006F6BF7"/>
    <w:rsid w:val="00700692"/>
    <w:rsid w:val="0070093D"/>
    <w:rsid w:val="0070222C"/>
    <w:rsid w:val="007022C5"/>
    <w:rsid w:val="0070248E"/>
    <w:rsid w:val="007052F5"/>
    <w:rsid w:val="00705897"/>
    <w:rsid w:val="00706803"/>
    <w:rsid w:val="00706830"/>
    <w:rsid w:val="007106C5"/>
    <w:rsid w:val="00710719"/>
    <w:rsid w:val="00711DC2"/>
    <w:rsid w:val="007124BA"/>
    <w:rsid w:val="007127EF"/>
    <w:rsid w:val="0071299A"/>
    <w:rsid w:val="00713058"/>
    <w:rsid w:val="00715DCC"/>
    <w:rsid w:val="007161AD"/>
    <w:rsid w:val="007168F5"/>
    <w:rsid w:val="007175B4"/>
    <w:rsid w:val="00717E14"/>
    <w:rsid w:val="00720B82"/>
    <w:rsid w:val="00720D4E"/>
    <w:rsid w:val="00720F17"/>
    <w:rsid w:val="00721304"/>
    <w:rsid w:val="00721A57"/>
    <w:rsid w:val="00721FCC"/>
    <w:rsid w:val="0072226C"/>
    <w:rsid w:val="00722820"/>
    <w:rsid w:val="007240E4"/>
    <w:rsid w:val="007252F6"/>
    <w:rsid w:val="00726481"/>
    <w:rsid w:val="00726677"/>
    <w:rsid w:val="00726A8D"/>
    <w:rsid w:val="00726E3E"/>
    <w:rsid w:val="00730E9B"/>
    <w:rsid w:val="0073152D"/>
    <w:rsid w:val="0073189E"/>
    <w:rsid w:val="00731E19"/>
    <w:rsid w:val="00732528"/>
    <w:rsid w:val="007340C6"/>
    <w:rsid w:val="0073427C"/>
    <w:rsid w:val="0073622D"/>
    <w:rsid w:val="007369C8"/>
    <w:rsid w:val="007371FE"/>
    <w:rsid w:val="007403DC"/>
    <w:rsid w:val="007407D8"/>
    <w:rsid w:val="007416C5"/>
    <w:rsid w:val="00742F32"/>
    <w:rsid w:val="00742F62"/>
    <w:rsid w:val="0074435F"/>
    <w:rsid w:val="00745017"/>
    <w:rsid w:val="00745F4B"/>
    <w:rsid w:val="007503C0"/>
    <w:rsid w:val="00750872"/>
    <w:rsid w:val="00751561"/>
    <w:rsid w:val="00751668"/>
    <w:rsid w:val="00751AD3"/>
    <w:rsid w:val="00752218"/>
    <w:rsid w:val="00752653"/>
    <w:rsid w:val="00753D99"/>
    <w:rsid w:val="007543E6"/>
    <w:rsid w:val="00754B24"/>
    <w:rsid w:val="00755A2C"/>
    <w:rsid w:val="007565F4"/>
    <w:rsid w:val="00756797"/>
    <w:rsid w:val="007613E4"/>
    <w:rsid w:val="00762752"/>
    <w:rsid w:val="00763D4C"/>
    <w:rsid w:val="007648B3"/>
    <w:rsid w:val="0076536C"/>
    <w:rsid w:val="007670BF"/>
    <w:rsid w:val="00767BA9"/>
    <w:rsid w:val="007706EF"/>
    <w:rsid w:val="007711D5"/>
    <w:rsid w:val="0077232A"/>
    <w:rsid w:val="007725F6"/>
    <w:rsid w:val="007729CB"/>
    <w:rsid w:val="00773412"/>
    <w:rsid w:val="00774820"/>
    <w:rsid w:val="00774ED6"/>
    <w:rsid w:val="00775530"/>
    <w:rsid w:val="00776396"/>
    <w:rsid w:val="007769CF"/>
    <w:rsid w:val="00777075"/>
    <w:rsid w:val="00777608"/>
    <w:rsid w:val="007800CD"/>
    <w:rsid w:val="00780C79"/>
    <w:rsid w:val="00781E3F"/>
    <w:rsid w:val="00782602"/>
    <w:rsid w:val="00782EE6"/>
    <w:rsid w:val="00784293"/>
    <w:rsid w:val="00784BE9"/>
    <w:rsid w:val="00784E66"/>
    <w:rsid w:val="00785CF5"/>
    <w:rsid w:val="007861E7"/>
    <w:rsid w:val="00786BE6"/>
    <w:rsid w:val="0078760B"/>
    <w:rsid w:val="00791859"/>
    <w:rsid w:val="007924F8"/>
    <w:rsid w:val="00792D89"/>
    <w:rsid w:val="007939C1"/>
    <w:rsid w:val="00794E85"/>
    <w:rsid w:val="00796DA7"/>
    <w:rsid w:val="007973E7"/>
    <w:rsid w:val="0079751A"/>
    <w:rsid w:val="00797BDC"/>
    <w:rsid w:val="007A13E7"/>
    <w:rsid w:val="007A2BF9"/>
    <w:rsid w:val="007A2FA5"/>
    <w:rsid w:val="007A463D"/>
    <w:rsid w:val="007A47D2"/>
    <w:rsid w:val="007A4D1E"/>
    <w:rsid w:val="007A5929"/>
    <w:rsid w:val="007A6F32"/>
    <w:rsid w:val="007B0685"/>
    <w:rsid w:val="007B0808"/>
    <w:rsid w:val="007B18E6"/>
    <w:rsid w:val="007B1DEA"/>
    <w:rsid w:val="007B30B9"/>
    <w:rsid w:val="007B38F0"/>
    <w:rsid w:val="007B3E1C"/>
    <w:rsid w:val="007B4020"/>
    <w:rsid w:val="007B440B"/>
    <w:rsid w:val="007C260E"/>
    <w:rsid w:val="007C38BB"/>
    <w:rsid w:val="007C3C55"/>
    <w:rsid w:val="007C5D1F"/>
    <w:rsid w:val="007C6DAB"/>
    <w:rsid w:val="007C77FE"/>
    <w:rsid w:val="007D0AD4"/>
    <w:rsid w:val="007D0E76"/>
    <w:rsid w:val="007D1188"/>
    <w:rsid w:val="007D19D4"/>
    <w:rsid w:val="007D2193"/>
    <w:rsid w:val="007D364D"/>
    <w:rsid w:val="007D5755"/>
    <w:rsid w:val="007D5A2A"/>
    <w:rsid w:val="007D5B1B"/>
    <w:rsid w:val="007D5E3E"/>
    <w:rsid w:val="007D6544"/>
    <w:rsid w:val="007D6F30"/>
    <w:rsid w:val="007D77B3"/>
    <w:rsid w:val="007D7879"/>
    <w:rsid w:val="007D7EFC"/>
    <w:rsid w:val="007E06C8"/>
    <w:rsid w:val="007E2A98"/>
    <w:rsid w:val="007E3011"/>
    <w:rsid w:val="007E35D1"/>
    <w:rsid w:val="007E389E"/>
    <w:rsid w:val="007E44B8"/>
    <w:rsid w:val="007E4F8E"/>
    <w:rsid w:val="007E5288"/>
    <w:rsid w:val="007E5371"/>
    <w:rsid w:val="007E554A"/>
    <w:rsid w:val="007E5AE8"/>
    <w:rsid w:val="007E6034"/>
    <w:rsid w:val="007E64E0"/>
    <w:rsid w:val="007E6E82"/>
    <w:rsid w:val="007E7814"/>
    <w:rsid w:val="007E7E74"/>
    <w:rsid w:val="007F00F1"/>
    <w:rsid w:val="007F1EFB"/>
    <w:rsid w:val="007F5614"/>
    <w:rsid w:val="007F7CB7"/>
    <w:rsid w:val="0080049B"/>
    <w:rsid w:val="00803261"/>
    <w:rsid w:val="00803B48"/>
    <w:rsid w:val="00804CB4"/>
    <w:rsid w:val="008050AB"/>
    <w:rsid w:val="00805AD6"/>
    <w:rsid w:val="00807721"/>
    <w:rsid w:val="00807C69"/>
    <w:rsid w:val="00810885"/>
    <w:rsid w:val="00810B8D"/>
    <w:rsid w:val="00811F83"/>
    <w:rsid w:val="00813344"/>
    <w:rsid w:val="0081401C"/>
    <w:rsid w:val="008160CB"/>
    <w:rsid w:val="008163C7"/>
    <w:rsid w:val="00816669"/>
    <w:rsid w:val="008205B1"/>
    <w:rsid w:val="00820D95"/>
    <w:rsid w:val="008218CE"/>
    <w:rsid w:val="00822B2D"/>
    <w:rsid w:val="0082379F"/>
    <w:rsid w:val="00824169"/>
    <w:rsid w:val="00825016"/>
    <w:rsid w:val="00825381"/>
    <w:rsid w:val="00826122"/>
    <w:rsid w:val="00826221"/>
    <w:rsid w:val="00826C08"/>
    <w:rsid w:val="008273A8"/>
    <w:rsid w:val="0083031F"/>
    <w:rsid w:val="008308EF"/>
    <w:rsid w:val="00830944"/>
    <w:rsid w:val="0083160C"/>
    <w:rsid w:val="008323F8"/>
    <w:rsid w:val="008325DE"/>
    <w:rsid w:val="00833328"/>
    <w:rsid w:val="00833F83"/>
    <w:rsid w:val="0083437F"/>
    <w:rsid w:val="00837E7E"/>
    <w:rsid w:val="00837F6F"/>
    <w:rsid w:val="00837FF7"/>
    <w:rsid w:val="00841235"/>
    <w:rsid w:val="008417F1"/>
    <w:rsid w:val="00842973"/>
    <w:rsid w:val="00842D92"/>
    <w:rsid w:val="0084354E"/>
    <w:rsid w:val="008437BA"/>
    <w:rsid w:val="00844CB0"/>
    <w:rsid w:val="008452E4"/>
    <w:rsid w:val="008456F8"/>
    <w:rsid w:val="008460EA"/>
    <w:rsid w:val="0085059B"/>
    <w:rsid w:val="008505AA"/>
    <w:rsid w:val="008508F4"/>
    <w:rsid w:val="00850994"/>
    <w:rsid w:val="00851227"/>
    <w:rsid w:val="00852129"/>
    <w:rsid w:val="0085333E"/>
    <w:rsid w:val="0085421B"/>
    <w:rsid w:val="00854F22"/>
    <w:rsid w:val="008555E6"/>
    <w:rsid w:val="00857476"/>
    <w:rsid w:val="008577F0"/>
    <w:rsid w:val="00860405"/>
    <w:rsid w:val="0086056E"/>
    <w:rsid w:val="00861795"/>
    <w:rsid w:val="00862F8F"/>
    <w:rsid w:val="00863788"/>
    <w:rsid w:val="00864CCB"/>
    <w:rsid w:val="008654E0"/>
    <w:rsid w:val="00866350"/>
    <w:rsid w:val="00866967"/>
    <w:rsid w:val="00866EB5"/>
    <w:rsid w:val="008708F3"/>
    <w:rsid w:val="0087158F"/>
    <w:rsid w:val="00872522"/>
    <w:rsid w:val="00872B76"/>
    <w:rsid w:val="0087323D"/>
    <w:rsid w:val="00873B02"/>
    <w:rsid w:val="00873D0A"/>
    <w:rsid w:val="008746D1"/>
    <w:rsid w:val="00874C1B"/>
    <w:rsid w:val="00876953"/>
    <w:rsid w:val="008770B4"/>
    <w:rsid w:val="008773A6"/>
    <w:rsid w:val="00880065"/>
    <w:rsid w:val="00880205"/>
    <w:rsid w:val="0088065A"/>
    <w:rsid w:val="0088197D"/>
    <w:rsid w:val="008820DE"/>
    <w:rsid w:val="00882628"/>
    <w:rsid w:val="00882D31"/>
    <w:rsid w:val="00885087"/>
    <w:rsid w:val="00885149"/>
    <w:rsid w:val="008865B8"/>
    <w:rsid w:val="00892469"/>
    <w:rsid w:val="008932DC"/>
    <w:rsid w:val="008936F4"/>
    <w:rsid w:val="00893C43"/>
    <w:rsid w:val="00897993"/>
    <w:rsid w:val="00897D50"/>
    <w:rsid w:val="008A0880"/>
    <w:rsid w:val="008A0D17"/>
    <w:rsid w:val="008A160A"/>
    <w:rsid w:val="008A4345"/>
    <w:rsid w:val="008A4D53"/>
    <w:rsid w:val="008A52BC"/>
    <w:rsid w:val="008A52DE"/>
    <w:rsid w:val="008A58D2"/>
    <w:rsid w:val="008A75CA"/>
    <w:rsid w:val="008B0CE7"/>
    <w:rsid w:val="008B2863"/>
    <w:rsid w:val="008B3712"/>
    <w:rsid w:val="008B3D26"/>
    <w:rsid w:val="008B4AB1"/>
    <w:rsid w:val="008B541C"/>
    <w:rsid w:val="008B57EB"/>
    <w:rsid w:val="008B653D"/>
    <w:rsid w:val="008B68FC"/>
    <w:rsid w:val="008B76FE"/>
    <w:rsid w:val="008C01F9"/>
    <w:rsid w:val="008C0917"/>
    <w:rsid w:val="008C1EBF"/>
    <w:rsid w:val="008C25E8"/>
    <w:rsid w:val="008C3A83"/>
    <w:rsid w:val="008C599D"/>
    <w:rsid w:val="008C59F3"/>
    <w:rsid w:val="008C5A94"/>
    <w:rsid w:val="008C5C15"/>
    <w:rsid w:val="008C68BB"/>
    <w:rsid w:val="008C693B"/>
    <w:rsid w:val="008C7A69"/>
    <w:rsid w:val="008D1010"/>
    <w:rsid w:val="008D1060"/>
    <w:rsid w:val="008D23CA"/>
    <w:rsid w:val="008D2E58"/>
    <w:rsid w:val="008D31E9"/>
    <w:rsid w:val="008D3DF7"/>
    <w:rsid w:val="008D5F23"/>
    <w:rsid w:val="008D65DA"/>
    <w:rsid w:val="008D6DC0"/>
    <w:rsid w:val="008E01A6"/>
    <w:rsid w:val="008E1686"/>
    <w:rsid w:val="008E1CEC"/>
    <w:rsid w:val="008E387E"/>
    <w:rsid w:val="008E3F9E"/>
    <w:rsid w:val="008E4B75"/>
    <w:rsid w:val="008E52A1"/>
    <w:rsid w:val="008E618E"/>
    <w:rsid w:val="008E6275"/>
    <w:rsid w:val="008E62FF"/>
    <w:rsid w:val="008E6319"/>
    <w:rsid w:val="008E6DAA"/>
    <w:rsid w:val="008E7826"/>
    <w:rsid w:val="008E79C8"/>
    <w:rsid w:val="008E7C4D"/>
    <w:rsid w:val="008F0599"/>
    <w:rsid w:val="008F05E8"/>
    <w:rsid w:val="008F069C"/>
    <w:rsid w:val="008F1093"/>
    <w:rsid w:val="008F1B28"/>
    <w:rsid w:val="008F23FA"/>
    <w:rsid w:val="008F27B5"/>
    <w:rsid w:val="008F3AB8"/>
    <w:rsid w:val="008F4801"/>
    <w:rsid w:val="008F52F0"/>
    <w:rsid w:val="008F56E0"/>
    <w:rsid w:val="008F64B9"/>
    <w:rsid w:val="008F705B"/>
    <w:rsid w:val="00900542"/>
    <w:rsid w:val="009020D5"/>
    <w:rsid w:val="00902324"/>
    <w:rsid w:val="00902866"/>
    <w:rsid w:val="00902B7E"/>
    <w:rsid w:val="0090360B"/>
    <w:rsid w:val="0090395E"/>
    <w:rsid w:val="009041A7"/>
    <w:rsid w:val="009045D2"/>
    <w:rsid w:val="00904F7D"/>
    <w:rsid w:val="00905096"/>
    <w:rsid w:val="0090771C"/>
    <w:rsid w:val="009077C7"/>
    <w:rsid w:val="00910702"/>
    <w:rsid w:val="00911C1B"/>
    <w:rsid w:val="0091267B"/>
    <w:rsid w:val="00912817"/>
    <w:rsid w:val="009128BB"/>
    <w:rsid w:val="00913F2D"/>
    <w:rsid w:val="00914206"/>
    <w:rsid w:val="00914422"/>
    <w:rsid w:val="00914953"/>
    <w:rsid w:val="00914FE2"/>
    <w:rsid w:val="0091592F"/>
    <w:rsid w:val="0091644E"/>
    <w:rsid w:val="00917FB0"/>
    <w:rsid w:val="009202B1"/>
    <w:rsid w:val="009209AE"/>
    <w:rsid w:val="0092130F"/>
    <w:rsid w:val="00921DAA"/>
    <w:rsid w:val="009226EE"/>
    <w:rsid w:val="0092325E"/>
    <w:rsid w:val="0092540B"/>
    <w:rsid w:val="00926D15"/>
    <w:rsid w:val="0092760D"/>
    <w:rsid w:val="00930B95"/>
    <w:rsid w:val="009315CB"/>
    <w:rsid w:val="0093326A"/>
    <w:rsid w:val="0093355A"/>
    <w:rsid w:val="0093370B"/>
    <w:rsid w:val="00933714"/>
    <w:rsid w:val="009340F1"/>
    <w:rsid w:val="009345E2"/>
    <w:rsid w:val="00934FB4"/>
    <w:rsid w:val="0093577E"/>
    <w:rsid w:val="00935988"/>
    <w:rsid w:val="0093609B"/>
    <w:rsid w:val="00941399"/>
    <w:rsid w:val="00941B47"/>
    <w:rsid w:val="0094229B"/>
    <w:rsid w:val="00945AE9"/>
    <w:rsid w:val="0094677C"/>
    <w:rsid w:val="0094705D"/>
    <w:rsid w:val="009505D3"/>
    <w:rsid w:val="0095098E"/>
    <w:rsid w:val="009516B9"/>
    <w:rsid w:val="00951FC2"/>
    <w:rsid w:val="00953BEB"/>
    <w:rsid w:val="009546B5"/>
    <w:rsid w:val="00954E32"/>
    <w:rsid w:val="00956860"/>
    <w:rsid w:val="009571BC"/>
    <w:rsid w:val="00957726"/>
    <w:rsid w:val="00960AE9"/>
    <w:rsid w:val="00960D2C"/>
    <w:rsid w:val="00960D58"/>
    <w:rsid w:val="00961799"/>
    <w:rsid w:val="009623F7"/>
    <w:rsid w:val="009644DD"/>
    <w:rsid w:val="0096715E"/>
    <w:rsid w:val="00967554"/>
    <w:rsid w:val="00970630"/>
    <w:rsid w:val="00971AAF"/>
    <w:rsid w:val="00971F92"/>
    <w:rsid w:val="00972E71"/>
    <w:rsid w:val="009746F0"/>
    <w:rsid w:val="00975800"/>
    <w:rsid w:val="00976173"/>
    <w:rsid w:val="00976586"/>
    <w:rsid w:val="00976814"/>
    <w:rsid w:val="00976B11"/>
    <w:rsid w:val="00976F62"/>
    <w:rsid w:val="009803CA"/>
    <w:rsid w:val="009804CA"/>
    <w:rsid w:val="00980550"/>
    <w:rsid w:val="00981EF5"/>
    <w:rsid w:val="009823FC"/>
    <w:rsid w:val="00982745"/>
    <w:rsid w:val="00982DBA"/>
    <w:rsid w:val="0098429B"/>
    <w:rsid w:val="009847A1"/>
    <w:rsid w:val="00984A0B"/>
    <w:rsid w:val="00984E31"/>
    <w:rsid w:val="00985255"/>
    <w:rsid w:val="00990563"/>
    <w:rsid w:val="009919C5"/>
    <w:rsid w:val="009923A4"/>
    <w:rsid w:val="00993358"/>
    <w:rsid w:val="00993FED"/>
    <w:rsid w:val="009943CB"/>
    <w:rsid w:val="009947DF"/>
    <w:rsid w:val="009959DA"/>
    <w:rsid w:val="009963D9"/>
    <w:rsid w:val="0099778B"/>
    <w:rsid w:val="009A0256"/>
    <w:rsid w:val="009A0BE7"/>
    <w:rsid w:val="009A0E91"/>
    <w:rsid w:val="009A2725"/>
    <w:rsid w:val="009A754E"/>
    <w:rsid w:val="009A79FD"/>
    <w:rsid w:val="009A7E9A"/>
    <w:rsid w:val="009B07CB"/>
    <w:rsid w:val="009B0F8F"/>
    <w:rsid w:val="009B1C01"/>
    <w:rsid w:val="009B33C4"/>
    <w:rsid w:val="009B3DBB"/>
    <w:rsid w:val="009B3FC2"/>
    <w:rsid w:val="009B4AB3"/>
    <w:rsid w:val="009B5683"/>
    <w:rsid w:val="009B63AB"/>
    <w:rsid w:val="009B6B10"/>
    <w:rsid w:val="009B6F11"/>
    <w:rsid w:val="009B764C"/>
    <w:rsid w:val="009B7907"/>
    <w:rsid w:val="009C1853"/>
    <w:rsid w:val="009C266C"/>
    <w:rsid w:val="009C2758"/>
    <w:rsid w:val="009C2930"/>
    <w:rsid w:val="009C33F4"/>
    <w:rsid w:val="009C42B8"/>
    <w:rsid w:val="009C48F7"/>
    <w:rsid w:val="009C4E69"/>
    <w:rsid w:val="009C5322"/>
    <w:rsid w:val="009C6BF6"/>
    <w:rsid w:val="009C739E"/>
    <w:rsid w:val="009C7622"/>
    <w:rsid w:val="009D050B"/>
    <w:rsid w:val="009D130E"/>
    <w:rsid w:val="009D345A"/>
    <w:rsid w:val="009D3C44"/>
    <w:rsid w:val="009D4913"/>
    <w:rsid w:val="009D49F9"/>
    <w:rsid w:val="009D5E3A"/>
    <w:rsid w:val="009D62D4"/>
    <w:rsid w:val="009D63B9"/>
    <w:rsid w:val="009D7C67"/>
    <w:rsid w:val="009E0A58"/>
    <w:rsid w:val="009E3D84"/>
    <w:rsid w:val="009E4C3F"/>
    <w:rsid w:val="009E4C8A"/>
    <w:rsid w:val="009E4E47"/>
    <w:rsid w:val="009E4EBE"/>
    <w:rsid w:val="009E51C1"/>
    <w:rsid w:val="009E5E88"/>
    <w:rsid w:val="009E74FA"/>
    <w:rsid w:val="009F0306"/>
    <w:rsid w:val="009F08A7"/>
    <w:rsid w:val="009F104C"/>
    <w:rsid w:val="009F180A"/>
    <w:rsid w:val="009F1B94"/>
    <w:rsid w:val="009F1EFE"/>
    <w:rsid w:val="009F23B0"/>
    <w:rsid w:val="009F2755"/>
    <w:rsid w:val="009F2850"/>
    <w:rsid w:val="009F2DD8"/>
    <w:rsid w:val="009F2E06"/>
    <w:rsid w:val="009F5A51"/>
    <w:rsid w:val="009F5BD3"/>
    <w:rsid w:val="009F5E37"/>
    <w:rsid w:val="009F6143"/>
    <w:rsid w:val="009F7F3A"/>
    <w:rsid w:val="009F7F87"/>
    <w:rsid w:val="00A00399"/>
    <w:rsid w:val="00A0179C"/>
    <w:rsid w:val="00A018A4"/>
    <w:rsid w:val="00A01E3F"/>
    <w:rsid w:val="00A021B1"/>
    <w:rsid w:val="00A024E8"/>
    <w:rsid w:val="00A0473C"/>
    <w:rsid w:val="00A04A2B"/>
    <w:rsid w:val="00A04A35"/>
    <w:rsid w:val="00A06570"/>
    <w:rsid w:val="00A0687A"/>
    <w:rsid w:val="00A07052"/>
    <w:rsid w:val="00A11357"/>
    <w:rsid w:val="00A1268E"/>
    <w:rsid w:val="00A12F8E"/>
    <w:rsid w:val="00A1308B"/>
    <w:rsid w:val="00A131CA"/>
    <w:rsid w:val="00A139A2"/>
    <w:rsid w:val="00A15080"/>
    <w:rsid w:val="00A162DE"/>
    <w:rsid w:val="00A17211"/>
    <w:rsid w:val="00A1725E"/>
    <w:rsid w:val="00A2046F"/>
    <w:rsid w:val="00A21CA4"/>
    <w:rsid w:val="00A22673"/>
    <w:rsid w:val="00A22B46"/>
    <w:rsid w:val="00A2313A"/>
    <w:rsid w:val="00A23174"/>
    <w:rsid w:val="00A23333"/>
    <w:rsid w:val="00A23BE0"/>
    <w:rsid w:val="00A23D26"/>
    <w:rsid w:val="00A24219"/>
    <w:rsid w:val="00A259A0"/>
    <w:rsid w:val="00A2717E"/>
    <w:rsid w:val="00A31D5B"/>
    <w:rsid w:val="00A32B9E"/>
    <w:rsid w:val="00A32CDD"/>
    <w:rsid w:val="00A33175"/>
    <w:rsid w:val="00A3334E"/>
    <w:rsid w:val="00A34029"/>
    <w:rsid w:val="00A3409F"/>
    <w:rsid w:val="00A34F63"/>
    <w:rsid w:val="00A3577B"/>
    <w:rsid w:val="00A4116A"/>
    <w:rsid w:val="00A41505"/>
    <w:rsid w:val="00A4211A"/>
    <w:rsid w:val="00A43676"/>
    <w:rsid w:val="00A4372E"/>
    <w:rsid w:val="00A43E9A"/>
    <w:rsid w:val="00A44AE4"/>
    <w:rsid w:val="00A45C3C"/>
    <w:rsid w:val="00A46B98"/>
    <w:rsid w:val="00A46E33"/>
    <w:rsid w:val="00A4787B"/>
    <w:rsid w:val="00A50549"/>
    <w:rsid w:val="00A5147D"/>
    <w:rsid w:val="00A52223"/>
    <w:rsid w:val="00A5236A"/>
    <w:rsid w:val="00A52CD3"/>
    <w:rsid w:val="00A52D1F"/>
    <w:rsid w:val="00A52DCD"/>
    <w:rsid w:val="00A53ACD"/>
    <w:rsid w:val="00A56045"/>
    <w:rsid w:val="00A56817"/>
    <w:rsid w:val="00A56F4C"/>
    <w:rsid w:val="00A574BA"/>
    <w:rsid w:val="00A57D8F"/>
    <w:rsid w:val="00A612DA"/>
    <w:rsid w:val="00A61942"/>
    <w:rsid w:val="00A61C4D"/>
    <w:rsid w:val="00A61F6D"/>
    <w:rsid w:val="00A6257D"/>
    <w:rsid w:val="00A62B4D"/>
    <w:rsid w:val="00A63493"/>
    <w:rsid w:val="00A635BE"/>
    <w:rsid w:val="00A645F7"/>
    <w:rsid w:val="00A668ED"/>
    <w:rsid w:val="00A66F14"/>
    <w:rsid w:val="00A6787F"/>
    <w:rsid w:val="00A67FF8"/>
    <w:rsid w:val="00A70863"/>
    <w:rsid w:val="00A70DA3"/>
    <w:rsid w:val="00A7118B"/>
    <w:rsid w:val="00A7224A"/>
    <w:rsid w:val="00A74883"/>
    <w:rsid w:val="00A74A39"/>
    <w:rsid w:val="00A756C2"/>
    <w:rsid w:val="00A765FA"/>
    <w:rsid w:val="00A7689E"/>
    <w:rsid w:val="00A8122B"/>
    <w:rsid w:val="00A82040"/>
    <w:rsid w:val="00A82881"/>
    <w:rsid w:val="00A82AF5"/>
    <w:rsid w:val="00A83B4E"/>
    <w:rsid w:val="00A83C4B"/>
    <w:rsid w:val="00A840B7"/>
    <w:rsid w:val="00A84A56"/>
    <w:rsid w:val="00A84EC7"/>
    <w:rsid w:val="00A86461"/>
    <w:rsid w:val="00A872E0"/>
    <w:rsid w:val="00A87520"/>
    <w:rsid w:val="00A902D6"/>
    <w:rsid w:val="00A90A7C"/>
    <w:rsid w:val="00A90D66"/>
    <w:rsid w:val="00A91CC6"/>
    <w:rsid w:val="00A930C1"/>
    <w:rsid w:val="00A93683"/>
    <w:rsid w:val="00A94194"/>
    <w:rsid w:val="00A9464E"/>
    <w:rsid w:val="00A9481B"/>
    <w:rsid w:val="00A95A2F"/>
    <w:rsid w:val="00A96C10"/>
    <w:rsid w:val="00A97960"/>
    <w:rsid w:val="00A97C0B"/>
    <w:rsid w:val="00AA0152"/>
    <w:rsid w:val="00AA061E"/>
    <w:rsid w:val="00AA0DA1"/>
    <w:rsid w:val="00AA3152"/>
    <w:rsid w:val="00AA37D0"/>
    <w:rsid w:val="00AA407B"/>
    <w:rsid w:val="00AA58DC"/>
    <w:rsid w:val="00AA5FB0"/>
    <w:rsid w:val="00AA784D"/>
    <w:rsid w:val="00AB28B8"/>
    <w:rsid w:val="00AB3B37"/>
    <w:rsid w:val="00AB4BC7"/>
    <w:rsid w:val="00AB671C"/>
    <w:rsid w:val="00AB6B04"/>
    <w:rsid w:val="00AB6D7B"/>
    <w:rsid w:val="00AB6EBC"/>
    <w:rsid w:val="00AB7AA8"/>
    <w:rsid w:val="00AC0963"/>
    <w:rsid w:val="00AC16E3"/>
    <w:rsid w:val="00AC20C6"/>
    <w:rsid w:val="00AC27D7"/>
    <w:rsid w:val="00AC426E"/>
    <w:rsid w:val="00AC427B"/>
    <w:rsid w:val="00AC481F"/>
    <w:rsid w:val="00AC5079"/>
    <w:rsid w:val="00AC706D"/>
    <w:rsid w:val="00AD14C8"/>
    <w:rsid w:val="00AD1631"/>
    <w:rsid w:val="00AD2522"/>
    <w:rsid w:val="00AD50C5"/>
    <w:rsid w:val="00AD5862"/>
    <w:rsid w:val="00AD5E22"/>
    <w:rsid w:val="00AD69F7"/>
    <w:rsid w:val="00AD774E"/>
    <w:rsid w:val="00AE11D1"/>
    <w:rsid w:val="00AE1A8D"/>
    <w:rsid w:val="00AE46AE"/>
    <w:rsid w:val="00AE4E84"/>
    <w:rsid w:val="00AE5B9E"/>
    <w:rsid w:val="00AE617C"/>
    <w:rsid w:val="00AE7567"/>
    <w:rsid w:val="00AF10DB"/>
    <w:rsid w:val="00AF2680"/>
    <w:rsid w:val="00AF3872"/>
    <w:rsid w:val="00AF3B2F"/>
    <w:rsid w:val="00AF453A"/>
    <w:rsid w:val="00AF4FFC"/>
    <w:rsid w:val="00AF52F5"/>
    <w:rsid w:val="00AF5C79"/>
    <w:rsid w:val="00AF5FED"/>
    <w:rsid w:val="00AF6736"/>
    <w:rsid w:val="00AF7882"/>
    <w:rsid w:val="00AF79B4"/>
    <w:rsid w:val="00B00FB2"/>
    <w:rsid w:val="00B01E30"/>
    <w:rsid w:val="00B0250A"/>
    <w:rsid w:val="00B03C6A"/>
    <w:rsid w:val="00B04055"/>
    <w:rsid w:val="00B0444E"/>
    <w:rsid w:val="00B0528B"/>
    <w:rsid w:val="00B057B4"/>
    <w:rsid w:val="00B057D0"/>
    <w:rsid w:val="00B06714"/>
    <w:rsid w:val="00B06B6E"/>
    <w:rsid w:val="00B06FFE"/>
    <w:rsid w:val="00B07253"/>
    <w:rsid w:val="00B07423"/>
    <w:rsid w:val="00B07ECF"/>
    <w:rsid w:val="00B11020"/>
    <w:rsid w:val="00B11382"/>
    <w:rsid w:val="00B1139B"/>
    <w:rsid w:val="00B1359D"/>
    <w:rsid w:val="00B13C1B"/>
    <w:rsid w:val="00B142A7"/>
    <w:rsid w:val="00B157D6"/>
    <w:rsid w:val="00B1644B"/>
    <w:rsid w:val="00B172AE"/>
    <w:rsid w:val="00B1756E"/>
    <w:rsid w:val="00B17975"/>
    <w:rsid w:val="00B21387"/>
    <w:rsid w:val="00B222A8"/>
    <w:rsid w:val="00B22798"/>
    <w:rsid w:val="00B246B2"/>
    <w:rsid w:val="00B24C62"/>
    <w:rsid w:val="00B24F13"/>
    <w:rsid w:val="00B25371"/>
    <w:rsid w:val="00B253F3"/>
    <w:rsid w:val="00B258FB"/>
    <w:rsid w:val="00B25EC8"/>
    <w:rsid w:val="00B26EA3"/>
    <w:rsid w:val="00B27DF4"/>
    <w:rsid w:val="00B344F3"/>
    <w:rsid w:val="00B34718"/>
    <w:rsid w:val="00B35F70"/>
    <w:rsid w:val="00B36D14"/>
    <w:rsid w:val="00B37791"/>
    <w:rsid w:val="00B37F7A"/>
    <w:rsid w:val="00B41200"/>
    <w:rsid w:val="00B41664"/>
    <w:rsid w:val="00B42021"/>
    <w:rsid w:val="00B4234E"/>
    <w:rsid w:val="00B42BA3"/>
    <w:rsid w:val="00B43691"/>
    <w:rsid w:val="00B43759"/>
    <w:rsid w:val="00B4392D"/>
    <w:rsid w:val="00B44BCF"/>
    <w:rsid w:val="00B451E6"/>
    <w:rsid w:val="00B4536F"/>
    <w:rsid w:val="00B45CD5"/>
    <w:rsid w:val="00B45E37"/>
    <w:rsid w:val="00B45FCB"/>
    <w:rsid w:val="00B461B9"/>
    <w:rsid w:val="00B46C1D"/>
    <w:rsid w:val="00B46C97"/>
    <w:rsid w:val="00B5068B"/>
    <w:rsid w:val="00B5097D"/>
    <w:rsid w:val="00B51E0A"/>
    <w:rsid w:val="00B51F41"/>
    <w:rsid w:val="00B51FE6"/>
    <w:rsid w:val="00B52676"/>
    <w:rsid w:val="00B5371B"/>
    <w:rsid w:val="00B5380C"/>
    <w:rsid w:val="00B56E61"/>
    <w:rsid w:val="00B57C45"/>
    <w:rsid w:val="00B60786"/>
    <w:rsid w:val="00B62ED9"/>
    <w:rsid w:val="00B64696"/>
    <w:rsid w:val="00B64DB9"/>
    <w:rsid w:val="00B6537A"/>
    <w:rsid w:val="00B6553B"/>
    <w:rsid w:val="00B66E7F"/>
    <w:rsid w:val="00B671DA"/>
    <w:rsid w:val="00B67EB7"/>
    <w:rsid w:val="00B72B35"/>
    <w:rsid w:val="00B73E24"/>
    <w:rsid w:val="00B74E71"/>
    <w:rsid w:val="00B75B19"/>
    <w:rsid w:val="00B76465"/>
    <w:rsid w:val="00B776F2"/>
    <w:rsid w:val="00B778F3"/>
    <w:rsid w:val="00B77EE1"/>
    <w:rsid w:val="00B80513"/>
    <w:rsid w:val="00B807B8"/>
    <w:rsid w:val="00B807CF"/>
    <w:rsid w:val="00B80F18"/>
    <w:rsid w:val="00B817EF"/>
    <w:rsid w:val="00B82749"/>
    <w:rsid w:val="00B828C4"/>
    <w:rsid w:val="00B835F7"/>
    <w:rsid w:val="00B83645"/>
    <w:rsid w:val="00B83F80"/>
    <w:rsid w:val="00B8468D"/>
    <w:rsid w:val="00B84A72"/>
    <w:rsid w:val="00B85B2A"/>
    <w:rsid w:val="00B85DF9"/>
    <w:rsid w:val="00B8646E"/>
    <w:rsid w:val="00B86B20"/>
    <w:rsid w:val="00B876AA"/>
    <w:rsid w:val="00B87C54"/>
    <w:rsid w:val="00B90D3B"/>
    <w:rsid w:val="00B91B41"/>
    <w:rsid w:val="00B941BA"/>
    <w:rsid w:val="00B94F01"/>
    <w:rsid w:val="00B954AB"/>
    <w:rsid w:val="00B9627C"/>
    <w:rsid w:val="00B968CE"/>
    <w:rsid w:val="00B975AA"/>
    <w:rsid w:val="00BA0BAD"/>
    <w:rsid w:val="00BA1636"/>
    <w:rsid w:val="00BA27AC"/>
    <w:rsid w:val="00BA3F11"/>
    <w:rsid w:val="00BA5E66"/>
    <w:rsid w:val="00BA66CD"/>
    <w:rsid w:val="00BA767E"/>
    <w:rsid w:val="00BB1043"/>
    <w:rsid w:val="00BB22F2"/>
    <w:rsid w:val="00BB24A6"/>
    <w:rsid w:val="00BB54CF"/>
    <w:rsid w:val="00BB6A27"/>
    <w:rsid w:val="00BB6E15"/>
    <w:rsid w:val="00BB78C3"/>
    <w:rsid w:val="00BB7F0D"/>
    <w:rsid w:val="00BC0052"/>
    <w:rsid w:val="00BC083F"/>
    <w:rsid w:val="00BC090C"/>
    <w:rsid w:val="00BC2751"/>
    <w:rsid w:val="00BC2827"/>
    <w:rsid w:val="00BC294A"/>
    <w:rsid w:val="00BC2C4A"/>
    <w:rsid w:val="00BC35E9"/>
    <w:rsid w:val="00BC5137"/>
    <w:rsid w:val="00BC6F89"/>
    <w:rsid w:val="00BC7260"/>
    <w:rsid w:val="00BC7936"/>
    <w:rsid w:val="00BD0265"/>
    <w:rsid w:val="00BD029A"/>
    <w:rsid w:val="00BD0F1A"/>
    <w:rsid w:val="00BD22C3"/>
    <w:rsid w:val="00BD2E8C"/>
    <w:rsid w:val="00BD3817"/>
    <w:rsid w:val="00BD45D9"/>
    <w:rsid w:val="00BD6BF1"/>
    <w:rsid w:val="00BD7917"/>
    <w:rsid w:val="00BD7954"/>
    <w:rsid w:val="00BE10C4"/>
    <w:rsid w:val="00BE1ABB"/>
    <w:rsid w:val="00BE2BCA"/>
    <w:rsid w:val="00BE497D"/>
    <w:rsid w:val="00BE4DA7"/>
    <w:rsid w:val="00BE4EFD"/>
    <w:rsid w:val="00BE5738"/>
    <w:rsid w:val="00BE5786"/>
    <w:rsid w:val="00BE62D1"/>
    <w:rsid w:val="00BE6EB1"/>
    <w:rsid w:val="00BE71BC"/>
    <w:rsid w:val="00BF036F"/>
    <w:rsid w:val="00BF0517"/>
    <w:rsid w:val="00BF0E43"/>
    <w:rsid w:val="00BF1888"/>
    <w:rsid w:val="00BF18B9"/>
    <w:rsid w:val="00BF1CE2"/>
    <w:rsid w:val="00BF1F68"/>
    <w:rsid w:val="00BF329E"/>
    <w:rsid w:val="00BF37B7"/>
    <w:rsid w:val="00BF5F40"/>
    <w:rsid w:val="00BF605D"/>
    <w:rsid w:val="00BF6095"/>
    <w:rsid w:val="00BF61A8"/>
    <w:rsid w:val="00BF6333"/>
    <w:rsid w:val="00BF7284"/>
    <w:rsid w:val="00BF77D8"/>
    <w:rsid w:val="00BF7F52"/>
    <w:rsid w:val="00C0075A"/>
    <w:rsid w:val="00C00ADB"/>
    <w:rsid w:val="00C0375A"/>
    <w:rsid w:val="00C078CA"/>
    <w:rsid w:val="00C11036"/>
    <w:rsid w:val="00C11742"/>
    <w:rsid w:val="00C12314"/>
    <w:rsid w:val="00C128B0"/>
    <w:rsid w:val="00C1449B"/>
    <w:rsid w:val="00C14C57"/>
    <w:rsid w:val="00C15BB7"/>
    <w:rsid w:val="00C16C4A"/>
    <w:rsid w:val="00C16DBC"/>
    <w:rsid w:val="00C17DC0"/>
    <w:rsid w:val="00C213DF"/>
    <w:rsid w:val="00C21930"/>
    <w:rsid w:val="00C22533"/>
    <w:rsid w:val="00C226B6"/>
    <w:rsid w:val="00C24395"/>
    <w:rsid w:val="00C24CCF"/>
    <w:rsid w:val="00C24EE2"/>
    <w:rsid w:val="00C25384"/>
    <w:rsid w:val="00C2622E"/>
    <w:rsid w:val="00C32034"/>
    <w:rsid w:val="00C33D56"/>
    <w:rsid w:val="00C34A82"/>
    <w:rsid w:val="00C3637A"/>
    <w:rsid w:val="00C36832"/>
    <w:rsid w:val="00C3749E"/>
    <w:rsid w:val="00C37817"/>
    <w:rsid w:val="00C37920"/>
    <w:rsid w:val="00C37F52"/>
    <w:rsid w:val="00C40C5E"/>
    <w:rsid w:val="00C413D6"/>
    <w:rsid w:val="00C41F07"/>
    <w:rsid w:val="00C422F4"/>
    <w:rsid w:val="00C4319E"/>
    <w:rsid w:val="00C44377"/>
    <w:rsid w:val="00C4437E"/>
    <w:rsid w:val="00C44830"/>
    <w:rsid w:val="00C45795"/>
    <w:rsid w:val="00C46113"/>
    <w:rsid w:val="00C4647A"/>
    <w:rsid w:val="00C46884"/>
    <w:rsid w:val="00C4692F"/>
    <w:rsid w:val="00C47A45"/>
    <w:rsid w:val="00C50218"/>
    <w:rsid w:val="00C50234"/>
    <w:rsid w:val="00C51784"/>
    <w:rsid w:val="00C51973"/>
    <w:rsid w:val="00C51DB5"/>
    <w:rsid w:val="00C53370"/>
    <w:rsid w:val="00C5471C"/>
    <w:rsid w:val="00C55084"/>
    <w:rsid w:val="00C5524B"/>
    <w:rsid w:val="00C55A5B"/>
    <w:rsid w:val="00C563F0"/>
    <w:rsid w:val="00C577BB"/>
    <w:rsid w:val="00C614AB"/>
    <w:rsid w:val="00C6201F"/>
    <w:rsid w:val="00C62237"/>
    <w:rsid w:val="00C638E1"/>
    <w:rsid w:val="00C64DC4"/>
    <w:rsid w:val="00C64F32"/>
    <w:rsid w:val="00C65840"/>
    <w:rsid w:val="00C676C3"/>
    <w:rsid w:val="00C70404"/>
    <w:rsid w:val="00C70774"/>
    <w:rsid w:val="00C70789"/>
    <w:rsid w:val="00C708DB"/>
    <w:rsid w:val="00C71564"/>
    <w:rsid w:val="00C717E8"/>
    <w:rsid w:val="00C7267C"/>
    <w:rsid w:val="00C72AC1"/>
    <w:rsid w:val="00C7360F"/>
    <w:rsid w:val="00C7537D"/>
    <w:rsid w:val="00C7585B"/>
    <w:rsid w:val="00C758E9"/>
    <w:rsid w:val="00C75BF7"/>
    <w:rsid w:val="00C7719A"/>
    <w:rsid w:val="00C77481"/>
    <w:rsid w:val="00C77EA4"/>
    <w:rsid w:val="00C80616"/>
    <w:rsid w:val="00C80F66"/>
    <w:rsid w:val="00C825B2"/>
    <w:rsid w:val="00C8262B"/>
    <w:rsid w:val="00C829C8"/>
    <w:rsid w:val="00C8318A"/>
    <w:rsid w:val="00C8342E"/>
    <w:rsid w:val="00C84726"/>
    <w:rsid w:val="00C863E0"/>
    <w:rsid w:val="00C9142E"/>
    <w:rsid w:val="00C91D42"/>
    <w:rsid w:val="00C92CF9"/>
    <w:rsid w:val="00C93A83"/>
    <w:rsid w:val="00C93A93"/>
    <w:rsid w:val="00C93B55"/>
    <w:rsid w:val="00C95C46"/>
    <w:rsid w:val="00C96381"/>
    <w:rsid w:val="00C96F5B"/>
    <w:rsid w:val="00C978DC"/>
    <w:rsid w:val="00CA0165"/>
    <w:rsid w:val="00CA1F12"/>
    <w:rsid w:val="00CA2F17"/>
    <w:rsid w:val="00CA3FA8"/>
    <w:rsid w:val="00CA497B"/>
    <w:rsid w:val="00CA4C3F"/>
    <w:rsid w:val="00CA5236"/>
    <w:rsid w:val="00CA5AE6"/>
    <w:rsid w:val="00CA5C60"/>
    <w:rsid w:val="00CA6AA7"/>
    <w:rsid w:val="00CA6D2D"/>
    <w:rsid w:val="00CA7B5E"/>
    <w:rsid w:val="00CB0342"/>
    <w:rsid w:val="00CB04F1"/>
    <w:rsid w:val="00CB0770"/>
    <w:rsid w:val="00CB0E5E"/>
    <w:rsid w:val="00CB10DC"/>
    <w:rsid w:val="00CB116F"/>
    <w:rsid w:val="00CB1945"/>
    <w:rsid w:val="00CB291C"/>
    <w:rsid w:val="00CB2994"/>
    <w:rsid w:val="00CB4D04"/>
    <w:rsid w:val="00CB76C9"/>
    <w:rsid w:val="00CC05C6"/>
    <w:rsid w:val="00CC0D9A"/>
    <w:rsid w:val="00CC19EF"/>
    <w:rsid w:val="00CC1D80"/>
    <w:rsid w:val="00CC36E4"/>
    <w:rsid w:val="00CC3A77"/>
    <w:rsid w:val="00CC45AD"/>
    <w:rsid w:val="00CC554F"/>
    <w:rsid w:val="00CC5A9D"/>
    <w:rsid w:val="00CC5CB2"/>
    <w:rsid w:val="00CC6B4A"/>
    <w:rsid w:val="00CC6CAF"/>
    <w:rsid w:val="00CC74A0"/>
    <w:rsid w:val="00CC77B4"/>
    <w:rsid w:val="00CD0697"/>
    <w:rsid w:val="00CD0699"/>
    <w:rsid w:val="00CD25BB"/>
    <w:rsid w:val="00CD3700"/>
    <w:rsid w:val="00CD3BCE"/>
    <w:rsid w:val="00CD4A88"/>
    <w:rsid w:val="00CD54ED"/>
    <w:rsid w:val="00CD5679"/>
    <w:rsid w:val="00CD5955"/>
    <w:rsid w:val="00CD59F1"/>
    <w:rsid w:val="00CD5C52"/>
    <w:rsid w:val="00CD72D2"/>
    <w:rsid w:val="00CD72D8"/>
    <w:rsid w:val="00CE07F3"/>
    <w:rsid w:val="00CE1C6D"/>
    <w:rsid w:val="00CE2286"/>
    <w:rsid w:val="00CE24C8"/>
    <w:rsid w:val="00CE389C"/>
    <w:rsid w:val="00CE38DB"/>
    <w:rsid w:val="00CE4A4E"/>
    <w:rsid w:val="00CE4D62"/>
    <w:rsid w:val="00CE56AD"/>
    <w:rsid w:val="00CE5B5F"/>
    <w:rsid w:val="00CE616C"/>
    <w:rsid w:val="00CF0881"/>
    <w:rsid w:val="00CF0A27"/>
    <w:rsid w:val="00CF169C"/>
    <w:rsid w:val="00CF17DF"/>
    <w:rsid w:val="00CF2233"/>
    <w:rsid w:val="00CF4705"/>
    <w:rsid w:val="00CF4AD2"/>
    <w:rsid w:val="00CF68D0"/>
    <w:rsid w:val="00CF68FE"/>
    <w:rsid w:val="00CF6C15"/>
    <w:rsid w:val="00CF721D"/>
    <w:rsid w:val="00CF798F"/>
    <w:rsid w:val="00D00C75"/>
    <w:rsid w:val="00D01373"/>
    <w:rsid w:val="00D0150A"/>
    <w:rsid w:val="00D016CE"/>
    <w:rsid w:val="00D01960"/>
    <w:rsid w:val="00D0529B"/>
    <w:rsid w:val="00D0686F"/>
    <w:rsid w:val="00D07630"/>
    <w:rsid w:val="00D10FFF"/>
    <w:rsid w:val="00D112E7"/>
    <w:rsid w:val="00D12373"/>
    <w:rsid w:val="00D1248C"/>
    <w:rsid w:val="00D14986"/>
    <w:rsid w:val="00D153F1"/>
    <w:rsid w:val="00D15AD0"/>
    <w:rsid w:val="00D163B6"/>
    <w:rsid w:val="00D17C03"/>
    <w:rsid w:val="00D17C6D"/>
    <w:rsid w:val="00D20E9C"/>
    <w:rsid w:val="00D210A6"/>
    <w:rsid w:val="00D211F2"/>
    <w:rsid w:val="00D213EB"/>
    <w:rsid w:val="00D2354B"/>
    <w:rsid w:val="00D236A1"/>
    <w:rsid w:val="00D23735"/>
    <w:rsid w:val="00D24F90"/>
    <w:rsid w:val="00D25415"/>
    <w:rsid w:val="00D25C8D"/>
    <w:rsid w:val="00D26843"/>
    <w:rsid w:val="00D26908"/>
    <w:rsid w:val="00D26A5E"/>
    <w:rsid w:val="00D26F20"/>
    <w:rsid w:val="00D2727F"/>
    <w:rsid w:val="00D316E3"/>
    <w:rsid w:val="00D319CB"/>
    <w:rsid w:val="00D41080"/>
    <w:rsid w:val="00D41E26"/>
    <w:rsid w:val="00D424C9"/>
    <w:rsid w:val="00D42818"/>
    <w:rsid w:val="00D42F57"/>
    <w:rsid w:val="00D437AD"/>
    <w:rsid w:val="00D44C54"/>
    <w:rsid w:val="00D4549A"/>
    <w:rsid w:val="00D45788"/>
    <w:rsid w:val="00D46D4C"/>
    <w:rsid w:val="00D46F08"/>
    <w:rsid w:val="00D505FC"/>
    <w:rsid w:val="00D5071E"/>
    <w:rsid w:val="00D50A6D"/>
    <w:rsid w:val="00D51A4F"/>
    <w:rsid w:val="00D521E7"/>
    <w:rsid w:val="00D528F1"/>
    <w:rsid w:val="00D52B1C"/>
    <w:rsid w:val="00D52D65"/>
    <w:rsid w:val="00D52F1F"/>
    <w:rsid w:val="00D5426F"/>
    <w:rsid w:val="00D54A10"/>
    <w:rsid w:val="00D55930"/>
    <w:rsid w:val="00D56AE1"/>
    <w:rsid w:val="00D6019C"/>
    <w:rsid w:val="00D60450"/>
    <w:rsid w:val="00D610B3"/>
    <w:rsid w:val="00D611DF"/>
    <w:rsid w:val="00D613C5"/>
    <w:rsid w:val="00D61652"/>
    <w:rsid w:val="00D617CB"/>
    <w:rsid w:val="00D61A20"/>
    <w:rsid w:val="00D61DF8"/>
    <w:rsid w:val="00D61E14"/>
    <w:rsid w:val="00D625AD"/>
    <w:rsid w:val="00D631CF"/>
    <w:rsid w:val="00D64102"/>
    <w:rsid w:val="00D64530"/>
    <w:rsid w:val="00D65167"/>
    <w:rsid w:val="00D654BB"/>
    <w:rsid w:val="00D65BB4"/>
    <w:rsid w:val="00D66084"/>
    <w:rsid w:val="00D668C8"/>
    <w:rsid w:val="00D66F24"/>
    <w:rsid w:val="00D6700D"/>
    <w:rsid w:val="00D6709B"/>
    <w:rsid w:val="00D67397"/>
    <w:rsid w:val="00D6786B"/>
    <w:rsid w:val="00D70462"/>
    <w:rsid w:val="00D70959"/>
    <w:rsid w:val="00D7114C"/>
    <w:rsid w:val="00D713BA"/>
    <w:rsid w:val="00D7274E"/>
    <w:rsid w:val="00D72A91"/>
    <w:rsid w:val="00D72FB6"/>
    <w:rsid w:val="00D733DF"/>
    <w:rsid w:val="00D7431F"/>
    <w:rsid w:val="00D7458B"/>
    <w:rsid w:val="00D74ED8"/>
    <w:rsid w:val="00D7559E"/>
    <w:rsid w:val="00D75734"/>
    <w:rsid w:val="00D7573B"/>
    <w:rsid w:val="00D75A2A"/>
    <w:rsid w:val="00D75E0D"/>
    <w:rsid w:val="00D80F3F"/>
    <w:rsid w:val="00D813AA"/>
    <w:rsid w:val="00D83079"/>
    <w:rsid w:val="00D8334E"/>
    <w:rsid w:val="00D8366F"/>
    <w:rsid w:val="00D839A9"/>
    <w:rsid w:val="00D84440"/>
    <w:rsid w:val="00D84463"/>
    <w:rsid w:val="00D84B9D"/>
    <w:rsid w:val="00D86059"/>
    <w:rsid w:val="00D91105"/>
    <w:rsid w:val="00D914E2"/>
    <w:rsid w:val="00D91AF6"/>
    <w:rsid w:val="00D9267C"/>
    <w:rsid w:val="00D956D1"/>
    <w:rsid w:val="00DA19C8"/>
    <w:rsid w:val="00DA21ED"/>
    <w:rsid w:val="00DA322D"/>
    <w:rsid w:val="00DA398A"/>
    <w:rsid w:val="00DA55E3"/>
    <w:rsid w:val="00DA59E7"/>
    <w:rsid w:val="00DA716D"/>
    <w:rsid w:val="00DA73BB"/>
    <w:rsid w:val="00DB072F"/>
    <w:rsid w:val="00DB0E8F"/>
    <w:rsid w:val="00DB3C44"/>
    <w:rsid w:val="00DB4062"/>
    <w:rsid w:val="00DB4154"/>
    <w:rsid w:val="00DB4660"/>
    <w:rsid w:val="00DB47CC"/>
    <w:rsid w:val="00DB50A8"/>
    <w:rsid w:val="00DB57C2"/>
    <w:rsid w:val="00DB67F9"/>
    <w:rsid w:val="00DB76D4"/>
    <w:rsid w:val="00DC0A22"/>
    <w:rsid w:val="00DC1B3B"/>
    <w:rsid w:val="00DC2975"/>
    <w:rsid w:val="00DC344A"/>
    <w:rsid w:val="00DC3578"/>
    <w:rsid w:val="00DC4462"/>
    <w:rsid w:val="00DC47FC"/>
    <w:rsid w:val="00DC4E8D"/>
    <w:rsid w:val="00DC4FD2"/>
    <w:rsid w:val="00DC51EF"/>
    <w:rsid w:val="00DC6217"/>
    <w:rsid w:val="00DC672E"/>
    <w:rsid w:val="00DC6B95"/>
    <w:rsid w:val="00DC6E61"/>
    <w:rsid w:val="00DC7884"/>
    <w:rsid w:val="00DC7AD3"/>
    <w:rsid w:val="00DC7D1A"/>
    <w:rsid w:val="00DD1082"/>
    <w:rsid w:val="00DD2111"/>
    <w:rsid w:val="00DD36E7"/>
    <w:rsid w:val="00DD3C1A"/>
    <w:rsid w:val="00DD445B"/>
    <w:rsid w:val="00DD4A17"/>
    <w:rsid w:val="00DD5380"/>
    <w:rsid w:val="00DD588F"/>
    <w:rsid w:val="00DD5C73"/>
    <w:rsid w:val="00DD5E28"/>
    <w:rsid w:val="00DD6548"/>
    <w:rsid w:val="00DD66E6"/>
    <w:rsid w:val="00DD7E7E"/>
    <w:rsid w:val="00DE188B"/>
    <w:rsid w:val="00DE1B55"/>
    <w:rsid w:val="00DE1C24"/>
    <w:rsid w:val="00DE2F62"/>
    <w:rsid w:val="00DE5057"/>
    <w:rsid w:val="00DE6C4C"/>
    <w:rsid w:val="00DE6E73"/>
    <w:rsid w:val="00DE74B7"/>
    <w:rsid w:val="00DE7560"/>
    <w:rsid w:val="00DE795D"/>
    <w:rsid w:val="00DF07CA"/>
    <w:rsid w:val="00DF0B13"/>
    <w:rsid w:val="00DF14A4"/>
    <w:rsid w:val="00DF1585"/>
    <w:rsid w:val="00DF2626"/>
    <w:rsid w:val="00DF290B"/>
    <w:rsid w:val="00DF2FB7"/>
    <w:rsid w:val="00DF41BF"/>
    <w:rsid w:val="00DF5436"/>
    <w:rsid w:val="00DF5482"/>
    <w:rsid w:val="00DF5D54"/>
    <w:rsid w:val="00DF6903"/>
    <w:rsid w:val="00DF7182"/>
    <w:rsid w:val="00DF73CC"/>
    <w:rsid w:val="00DF73FE"/>
    <w:rsid w:val="00DF7991"/>
    <w:rsid w:val="00E001BB"/>
    <w:rsid w:val="00E00B49"/>
    <w:rsid w:val="00E0195B"/>
    <w:rsid w:val="00E01C3A"/>
    <w:rsid w:val="00E024DA"/>
    <w:rsid w:val="00E04181"/>
    <w:rsid w:val="00E0468C"/>
    <w:rsid w:val="00E0513D"/>
    <w:rsid w:val="00E067D7"/>
    <w:rsid w:val="00E070AF"/>
    <w:rsid w:val="00E10BA4"/>
    <w:rsid w:val="00E10D30"/>
    <w:rsid w:val="00E11D08"/>
    <w:rsid w:val="00E122E9"/>
    <w:rsid w:val="00E13208"/>
    <w:rsid w:val="00E136BF"/>
    <w:rsid w:val="00E137CE"/>
    <w:rsid w:val="00E14F9A"/>
    <w:rsid w:val="00E170E1"/>
    <w:rsid w:val="00E2004B"/>
    <w:rsid w:val="00E200F4"/>
    <w:rsid w:val="00E20142"/>
    <w:rsid w:val="00E2098E"/>
    <w:rsid w:val="00E212DB"/>
    <w:rsid w:val="00E22145"/>
    <w:rsid w:val="00E22154"/>
    <w:rsid w:val="00E22C2D"/>
    <w:rsid w:val="00E24293"/>
    <w:rsid w:val="00E244A8"/>
    <w:rsid w:val="00E24980"/>
    <w:rsid w:val="00E24D21"/>
    <w:rsid w:val="00E25047"/>
    <w:rsid w:val="00E27D35"/>
    <w:rsid w:val="00E31A49"/>
    <w:rsid w:val="00E32354"/>
    <w:rsid w:val="00E323A5"/>
    <w:rsid w:val="00E3300B"/>
    <w:rsid w:val="00E344E9"/>
    <w:rsid w:val="00E351A5"/>
    <w:rsid w:val="00E356B5"/>
    <w:rsid w:val="00E35FC4"/>
    <w:rsid w:val="00E364B8"/>
    <w:rsid w:val="00E3780E"/>
    <w:rsid w:val="00E40612"/>
    <w:rsid w:val="00E40B93"/>
    <w:rsid w:val="00E41C11"/>
    <w:rsid w:val="00E41F26"/>
    <w:rsid w:val="00E429E9"/>
    <w:rsid w:val="00E43A5E"/>
    <w:rsid w:val="00E442CD"/>
    <w:rsid w:val="00E4462F"/>
    <w:rsid w:val="00E449B3"/>
    <w:rsid w:val="00E44B9C"/>
    <w:rsid w:val="00E46FA2"/>
    <w:rsid w:val="00E50AA4"/>
    <w:rsid w:val="00E51388"/>
    <w:rsid w:val="00E514FB"/>
    <w:rsid w:val="00E519B8"/>
    <w:rsid w:val="00E53FEA"/>
    <w:rsid w:val="00E55297"/>
    <w:rsid w:val="00E562A6"/>
    <w:rsid w:val="00E577D4"/>
    <w:rsid w:val="00E57B95"/>
    <w:rsid w:val="00E61300"/>
    <w:rsid w:val="00E63BB8"/>
    <w:rsid w:val="00E65592"/>
    <w:rsid w:val="00E66AF5"/>
    <w:rsid w:val="00E6760F"/>
    <w:rsid w:val="00E678BC"/>
    <w:rsid w:val="00E67E05"/>
    <w:rsid w:val="00E704D7"/>
    <w:rsid w:val="00E7083A"/>
    <w:rsid w:val="00E71748"/>
    <w:rsid w:val="00E719D0"/>
    <w:rsid w:val="00E71D78"/>
    <w:rsid w:val="00E72728"/>
    <w:rsid w:val="00E72CFF"/>
    <w:rsid w:val="00E73DFB"/>
    <w:rsid w:val="00E73F50"/>
    <w:rsid w:val="00E7497E"/>
    <w:rsid w:val="00E763A8"/>
    <w:rsid w:val="00E76D4E"/>
    <w:rsid w:val="00E76EF2"/>
    <w:rsid w:val="00E76F10"/>
    <w:rsid w:val="00E76F22"/>
    <w:rsid w:val="00E77918"/>
    <w:rsid w:val="00E80048"/>
    <w:rsid w:val="00E80205"/>
    <w:rsid w:val="00E80D1F"/>
    <w:rsid w:val="00E81803"/>
    <w:rsid w:val="00E82C9A"/>
    <w:rsid w:val="00E832DC"/>
    <w:rsid w:val="00E8457B"/>
    <w:rsid w:val="00E87D9E"/>
    <w:rsid w:val="00E9035F"/>
    <w:rsid w:val="00E92472"/>
    <w:rsid w:val="00E92577"/>
    <w:rsid w:val="00E93314"/>
    <w:rsid w:val="00E9338C"/>
    <w:rsid w:val="00E93F9D"/>
    <w:rsid w:val="00E95422"/>
    <w:rsid w:val="00E9595C"/>
    <w:rsid w:val="00E95C24"/>
    <w:rsid w:val="00E96F65"/>
    <w:rsid w:val="00EA0CD5"/>
    <w:rsid w:val="00EA1D57"/>
    <w:rsid w:val="00EA492A"/>
    <w:rsid w:val="00EA635E"/>
    <w:rsid w:val="00EB229C"/>
    <w:rsid w:val="00EB2471"/>
    <w:rsid w:val="00EB2D12"/>
    <w:rsid w:val="00EB5199"/>
    <w:rsid w:val="00EB5B39"/>
    <w:rsid w:val="00EB5DC9"/>
    <w:rsid w:val="00EB60F7"/>
    <w:rsid w:val="00EB6465"/>
    <w:rsid w:val="00EB6AF1"/>
    <w:rsid w:val="00EB6B27"/>
    <w:rsid w:val="00EB6F29"/>
    <w:rsid w:val="00EB78B0"/>
    <w:rsid w:val="00EC06C0"/>
    <w:rsid w:val="00EC199E"/>
    <w:rsid w:val="00EC1A4F"/>
    <w:rsid w:val="00EC2B90"/>
    <w:rsid w:val="00EC43D0"/>
    <w:rsid w:val="00EC47BA"/>
    <w:rsid w:val="00EC4F3C"/>
    <w:rsid w:val="00EC5634"/>
    <w:rsid w:val="00EC6261"/>
    <w:rsid w:val="00EC63ED"/>
    <w:rsid w:val="00ED056F"/>
    <w:rsid w:val="00ED1093"/>
    <w:rsid w:val="00ED1476"/>
    <w:rsid w:val="00ED1C3D"/>
    <w:rsid w:val="00ED2154"/>
    <w:rsid w:val="00ED2907"/>
    <w:rsid w:val="00ED3BBE"/>
    <w:rsid w:val="00ED3E46"/>
    <w:rsid w:val="00ED49EB"/>
    <w:rsid w:val="00ED4A0A"/>
    <w:rsid w:val="00ED525B"/>
    <w:rsid w:val="00ED5302"/>
    <w:rsid w:val="00ED5EFA"/>
    <w:rsid w:val="00ED6798"/>
    <w:rsid w:val="00ED7983"/>
    <w:rsid w:val="00EE011E"/>
    <w:rsid w:val="00EE0FFB"/>
    <w:rsid w:val="00EE29E1"/>
    <w:rsid w:val="00EE2FFD"/>
    <w:rsid w:val="00EE3815"/>
    <w:rsid w:val="00EE3851"/>
    <w:rsid w:val="00EE3ACF"/>
    <w:rsid w:val="00EE4EC3"/>
    <w:rsid w:val="00EE6EDD"/>
    <w:rsid w:val="00EE7753"/>
    <w:rsid w:val="00EE7EAF"/>
    <w:rsid w:val="00EF0559"/>
    <w:rsid w:val="00EF064C"/>
    <w:rsid w:val="00EF0DB0"/>
    <w:rsid w:val="00EF1CD2"/>
    <w:rsid w:val="00EF2869"/>
    <w:rsid w:val="00EF299F"/>
    <w:rsid w:val="00EF2A2A"/>
    <w:rsid w:val="00EF4BBE"/>
    <w:rsid w:val="00EF6EBC"/>
    <w:rsid w:val="00EF702D"/>
    <w:rsid w:val="00EF7457"/>
    <w:rsid w:val="00F00419"/>
    <w:rsid w:val="00F028D9"/>
    <w:rsid w:val="00F02957"/>
    <w:rsid w:val="00F03B48"/>
    <w:rsid w:val="00F046BE"/>
    <w:rsid w:val="00F05C6A"/>
    <w:rsid w:val="00F05E63"/>
    <w:rsid w:val="00F06883"/>
    <w:rsid w:val="00F06D00"/>
    <w:rsid w:val="00F07279"/>
    <w:rsid w:val="00F10A28"/>
    <w:rsid w:val="00F11C60"/>
    <w:rsid w:val="00F128B0"/>
    <w:rsid w:val="00F14269"/>
    <w:rsid w:val="00F159EA"/>
    <w:rsid w:val="00F15B35"/>
    <w:rsid w:val="00F175D2"/>
    <w:rsid w:val="00F17E98"/>
    <w:rsid w:val="00F20C57"/>
    <w:rsid w:val="00F2177D"/>
    <w:rsid w:val="00F21828"/>
    <w:rsid w:val="00F218C7"/>
    <w:rsid w:val="00F21DF9"/>
    <w:rsid w:val="00F233D3"/>
    <w:rsid w:val="00F24B1D"/>
    <w:rsid w:val="00F25450"/>
    <w:rsid w:val="00F26F04"/>
    <w:rsid w:val="00F30B51"/>
    <w:rsid w:val="00F320EB"/>
    <w:rsid w:val="00F33A7B"/>
    <w:rsid w:val="00F346B2"/>
    <w:rsid w:val="00F34B53"/>
    <w:rsid w:val="00F3597A"/>
    <w:rsid w:val="00F361E5"/>
    <w:rsid w:val="00F36B97"/>
    <w:rsid w:val="00F36DD9"/>
    <w:rsid w:val="00F3767A"/>
    <w:rsid w:val="00F412A6"/>
    <w:rsid w:val="00F42496"/>
    <w:rsid w:val="00F425C3"/>
    <w:rsid w:val="00F43442"/>
    <w:rsid w:val="00F43B02"/>
    <w:rsid w:val="00F44762"/>
    <w:rsid w:val="00F44C9A"/>
    <w:rsid w:val="00F454A4"/>
    <w:rsid w:val="00F46493"/>
    <w:rsid w:val="00F46E11"/>
    <w:rsid w:val="00F4739D"/>
    <w:rsid w:val="00F47E5D"/>
    <w:rsid w:val="00F515A5"/>
    <w:rsid w:val="00F5384D"/>
    <w:rsid w:val="00F53A55"/>
    <w:rsid w:val="00F543DF"/>
    <w:rsid w:val="00F544F6"/>
    <w:rsid w:val="00F54722"/>
    <w:rsid w:val="00F54C98"/>
    <w:rsid w:val="00F55276"/>
    <w:rsid w:val="00F574D0"/>
    <w:rsid w:val="00F57508"/>
    <w:rsid w:val="00F57618"/>
    <w:rsid w:val="00F57A39"/>
    <w:rsid w:val="00F613F9"/>
    <w:rsid w:val="00F61992"/>
    <w:rsid w:val="00F62BB0"/>
    <w:rsid w:val="00F657F4"/>
    <w:rsid w:val="00F66097"/>
    <w:rsid w:val="00F667EE"/>
    <w:rsid w:val="00F6768B"/>
    <w:rsid w:val="00F67988"/>
    <w:rsid w:val="00F67AAD"/>
    <w:rsid w:val="00F71B2D"/>
    <w:rsid w:val="00F71D2D"/>
    <w:rsid w:val="00F73106"/>
    <w:rsid w:val="00F7377B"/>
    <w:rsid w:val="00F75571"/>
    <w:rsid w:val="00F762F2"/>
    <w:rsid w:val="00F766BE"/>
    <w:rsid w:val="00F76BDF"/>
    <w:rsid w:val="00F77BCC"/>
    <w:rsid w:val="00F8052C"/>
    <w:rsid w:val="00F80BFF"/>
    <w:rsid w:val="00F8155D"/>
    <w:rsid w:val="00F81849"/>
    <w:rsid w:val="00F8193A"/>
    <w:rsid w:val="00F81957"/>
    <w:rsid w:val="00F821EC"/>
    <w:rsid w:val="00F82E42"/>
    <w:rsid w:val="00F831FB"/>
    <w:rsid w:val="00F833FB"/>
    <w:rsid w:val="00F83B10"/>
    <w:rsid w:val="00F841DB"/>
    <w:rsid w:val="00F84BCD"/>
    <w:rsid w:val="00F85104"/>
    <w:rsid w:val="00F865F3"/>
    <w:rsid w:val="00F8694C"/>
    <w:rsid w:val="00F86AE9"/>
    <w:rsid w:val="00F87111"/>
    <w:rsid w:val="00F87113"/>
    <w:rsid w:val="00F87B6B"/>
    <w:rsid w:val="00F87FBE"/>
    <w:rsid w:val="00F90791"/>
    <w:rsid w:val="00F90E85"/>
    <w:rsid w:val="00F9237D"/>
    <w:rsid w:val="00F92436"/>
    <w:rsid w:val="00F9350E"/>
    <w:rsid w:val="00F94A65"/>
    <w:rsid w:val="00F94E08"/>
    <w:rsid w:val="00F9515E"/>
    <w:rsid w:val="00F95F69"/>
    <w:rsid w:val="00F9775E"/>
    <w:rsid w:val="00F97ED2"/>
    <w:rsid w:val="00FA0A09"/>
    <w:rsid w:val="00FA0D0D"/>
    <w:rsid w:val="00FA100C"/>
    <w:rsid w:val="00FA2C9A"/>
    <w:rsid w:val="00FA33FB"/>
    <w:rsid w:val="00FA3994"/>
    <w:rsid w:val="00FA4E1B"/>
    <w:rsid w:val="00FA5EE7"/>
    <w:rsid w:val="00FA6743"/>
    <w:rsid w:val="00FA6FD2"/>
    <w:rsid w:val="00FA77F1"/>
    <w:rsid w:val="00FA799B"/>
    <w:rsid w:val="00FA7B2B"/>
    <w:rsid w:val="00FB0F35"/>
    <w:rsid w:val="00FB24F0"/>
    <w:rsid w:val="00FB2FBF"/>
    <w:rsid w:val="00FB356D"/>
    <w:rsid w:val="00FB366D"/>
    <w:rsid w:val="00FB383A"/>
    <w:rsid w:val="00FB45A0"/>
    <w:rsid w:val="00FB53D0"/>
    <w:rsid w:val="00FB55EE"/>
    <w:rsid w:val="00FB6106"/>
    <w:rsid w:val="00FC0108"/>
    <w:rsid w:val="00FC0337"/>
    <w:rsid w:val="00FC0E13"/>
    <w:rsid w:val="00FC1010"/>
    <w:rsid w:val="00FC1989"/>
    <w:rsid w:val="00FC1A18"/>
    <w:rsid w:val="00FC1D11"/>
    <w:rsid w:val="00FC1D82"/>
    <w:rsid w:val="00FC4B6F"/>
    <w:rsid w:val="00FC5335"/>
    <w:rsid w:val="00FC744D"/>
    <w:rsid w:val="00FC7451"/>
    <w:rsid w:val="00FC7889"/>
    <w:rsid w:val="00FD05C0"/>
    <w:rsid w:val="00FD0E41"/>
    <w:rsid w:val="00FD226C"/>
    <w:rsid w:val="00FD334F"/>
    <w:rsid w:val="00FD53A2"/>
    <w:rsid w:val="00FD5993"/>
    <w:rsid w:val="00FD68F5"/>
    <w:rsid w:val="00FD6CC8"/>
    <w:rsid w:val="00FD6E21"/>
    <w:rsid w:val="00FD7078"/>
    <w:rsid w:val="00FD70EA"/>
    <w:rsid w:val="00FD776C"/>
    <w:rsid w:val="00FE016B"/>
    <w:rsid w:val="00FE1D26"/>
    <w:rsid w:val="00FE2B4D"/>
    <w:rsid w:val="00FE5DEC"/>
    <w:rsid w:val="00FE7085"/>
    <w:rsid w:val="00FE7445"/>
    <w:rsid w:val="00FE7981"/>
    <w:rsid w:val="00FF10B4"/>
    <w:rsid w:val="00FF1805"/>
    <w:rsid w:val="00FF359D"/>
    <w:rsid w:val="00FF422F"/>
    <w:rsid w:val="00FF49DF"/>
    <w:rsid w:val="00FF58E6"/>
    <w:rsid w:val="00FF5BC8"/>
    <w:rsid w:val="00FF6B2D"/>
    <w:rsid w:val="00FF7023"/>
    <w:rsid w:val="00FF71CF"/>
    <w:rsid w:val="00FF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E7992C"/>
  <w15:docId w15:val="{909F6979-EEB5-4F1F-821F-C0209202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00A"/>
    <w:pPr>
      <w:widowControl w:val="0"/>
      <w:autoSpaceDE w:val="0"/>
      <w:autoSpaceDN w:val="0"/>
      <w:adjustRightInd w:val="0"/>
    </w:pPr>
    <w:rPr>
      <w:sz w:val="24"/>
      <w:szCs w:val="24"/>
    </w:rPr>
  </w:style>
  <w:style w:type="paragraph" w:styleId="Heading1">
    <w:name w:val="heading 1"/>
    <w:basedOn w:val="Normal"/>
    <w:next w:val="Normal"/>
    <w:qFormat/>
    <w:rsid w:val="005300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0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00A"/>
    <w:pPr>
      <w:keepNext/>
      <w:spacing w:before="240" w:after="60"/>
      <w:outlineLvl w:val="2"/>
    </w:pPr>
    <w:rPr>
      <w:rFonts w:ascii="Arial" w:hAnsi="Arial" w:cs="Arial"/>
      <w:b/>
      <w:bCs/>
      <w:sz w:val="26"/>
      <w:szCs w:val="26"/>
    </w:rPr>
  </w:style>
  <w:style w:type="paragraph" w:styleId="Heading9">
    <w:name w:val="heading 9"/>
    <w:basedOn w:val="Normal"/>
    <w:next w:val="Normal"/>
    <w:link w:val="Heading9Char"/>
    <w:qFormat/>
    <w:rsid w:val="000F569A"/>
    <w:pPr>
      <w:keepNext/>
      <w:overflowPunct w:val="0"/>
      <w:spacing w:line="480" w:lineRule="auto"/>
      <w:jc w:val="center"/>
      <w:textAlignment w:val="baseline"/>
      <w:outlineLvl w:val="8"/>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C76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6C769B"/>
    <w:rPr>
      <w:sz w:val="16"/>
      <w:szCs w:val="16"/>
    </w:rPr>
  </w:style>
  <w:style w:type="paragraph" w:styleId="CommentText">
    <w:name w:val="annotation text"/>
    <w:basedOn w:val="Normal"/>
    <w:link w:val="CommentTextChar"/>
    <w:uiPriority w:val="99"/>
    <w:rsid w:val="006C769B"/>
    <w:rPr>
      <w:sz w:val="20"/>
      <w:szCs w:val="20"/>
    </w:rPr>
  </w:style>
  <w:style w:type="paragraph" w:styleId="CommentSubject">
    <w:name w:val="annotation subject"/>
    <w:basedOn w:val="CommentText"/>
    <w:next w:val="CommentText"/>
    <w:semiHidden/>
    <w:rsid w:val="006C769B"/>
    <w:rPr>
      <w:b/>
      <w:bCs/>
    </w:rPr>
  </w:style>
  <w:style w:type="paragraph" w:styleId="BalloonText">
    <w:name w:val="Balloon Text"/>
    <w:basedOn w:val="Normal"/>
    <w:semiHidden/>
    <w:rsid w:val="006C769B"/>
    <w:rPr>
      <w:rFonts w:ascii="Tahoma" w:hAnsi="Tahoma" w:cs="Tahoma"/>
      <w:sz w:val="16"/>
      <w:szCs w:val="16"/>
    </w:rPr>
  </w:style>
  <w:style w:type="paragraph" w:styleId="BodyTextIndent2">
    <w:name w:val="Body Text Indent 2"/>
    <w:basedOn w:val="Normal"/>
    <w:link w:val="BodyTextIndent2Char"/>
    <w:rsid w:val="006C769B"/>
    <w:pPr>
      <w:overflowPunct w:val="0"/>
      <w:ind w:firstLine="720"/>
      <w:textAlignment w:val="baseline"/>
    </w:pPr>
    <w:rPr>
      <w:szCs w:val="20"/>
    </w:rPr>
  </w:style>
  <w:style w:type="paragraph" w:styleId="BodyTextIndent3">
    <w:name w:val="Body Text Indent 3"/>
    <w:basedOn w:val="Normal"/>
    <w:rsid w:val="00116983"/>
    <w:pPr>
      <w:spacing w:after="120"/>
      <w:ind w:left="360"/>
    </w:pPr>
    <w:rPr>
      <w:sz w:val="16"/>
      <w:szCs w:val="16"/>
    </w:rPr>
  </w:style>
  <w:style w:type="paragraph" w:styleId="FootnoteText">
    <w:name w:val="footnote text"/>
    <w:aliases w:val="Style 9,Car"/>
    <w:basedOn w:val="Normal"/>
    <w:link w:val="FootnoteTextChar"/>
    <w:rsid w:val="008323F8"/>
    <w:rPr>
      <w:sz w:val="20"/>
      <w:szCs w:val="20"/>
    </w:rPr>
  </w:style>
  <w:style w:type="character" w:styleId="FootnoteReference">
    <w:name w:val="footnote reference"/>
    <w:aliases w:val="Style 8"/>
    <w:basedOn w:val="DefaultParagraphFont"/>
    <w:rsid w:val="008323F8"/>
    <w:rPr>
      <w:vertAlign w:val="superscript"/>
    </w:rPr>
  </w:style>
  <w:style w:type="paragraph" w:styleId="BodyText">
    <w:name w:val="Body Text"/>
    <w:basedOn w:val="Normal"/>
    <w:link w:val="BodyTextChar"/>
    <w:rsid w:val="006365E3"/>
    <w:pPr>
      <w:spacing w:after="120"/>
    </w:pPr>
  </w:style>
  <w:style w:type="paragraph" w:customStyle="1" w:styleId="P01BodyText">
    <w:name w:val="P01_BodyText"/>
    <w:basedOn w:val="Normal"/>
    <w:rsid w:val="00261951"/>
    <w:pPr>
      <w:overflowPunct w:val="0"/>
      <w:spacing w:after="120"/>
      <w:textAlignment w:val="baseline"/>
    </w:pPr>
    <w:rPr>
      <w:rFonts w:ascii="Arial" w:hAnsi="Arial"/>
      <w:position w:val="8"/>
      <w:sz w:val="22"/>
      <w:szCs w:val="20"/>
    </w:rPr>
  </w:style>
  <w:style w:type="paragraph" w:styleId="Header">
    <w:name w:val="header"/>
    <w:basedOn w:val="Normal"/>
    <w:link w:val="HeaderChar"/>
    <w:uiPriority w:val="99"/>
    <w:rsid w:val="00273C47"/>
    <w:pPr>
      <w:tabs>
        <w:tab w:val="center" w:pos="4320"/>
        <w:tab w:val="right" w:pos="8640"/>
      </w:tabs>
    </w:pPr>
  </w:style>
  <w:style w:type="paragraph" w:styleId="Footer">
    <w:name w:val="footer"/>
    <w:basedOn w:val="Normal"/>
    <w:link w:val="FooterChar"/>
    <w:rsid w:val="00273C47"/>
    <w:pPr>
      <w:tabs>
        <w:tab w:val="center" w:pos="4320"/>
        <w:tab w:val="right" w:pos="8640"/>
      </w:tabs>
    </w:pPr>
  </w:style>
  <w:style w:type="paragraph" w:styleId="BodyText2">
    <w:name w:val="Body Text 2"/>
    <w:basedOn w:val="Normal"/>
    <w:rsid w:val="000F569A"/>
    <w:pPr>
      <w:spacing w:after="120" w:line="480" w:lineRule="auto"/>
    </w:pPr>
  </w:style>
  <w:style w:type="character" w:customStyle="1" w:styleId="FootnoteTextChar">
    <w:name w:val="Footnote Text Char"/>
    <w:aliases w:val="Style 9 Char,Car Char"/>
    <w:basedOn w:val="DefaultParagraphFont"/>
    <w:link w:val="FootnoteText"/>
    <w:rsid w:val="0053000A"/>
    <w:rPr>
      <w:lang w:val="en-US" w:eastAsia="en-US" w:bidi="ar-SA"/>
    </w:rPr>
  </w:style>
  <w:style w:type="paragraph" w:customStyle="1" w:styleId="Default">
    <w:name w:val="Default"/>
    <w:rsid w:val="00F53A55"/>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rsid w:val="009B764C"/>
    <w:rPr>
      <w:color w:val="5F5F5F"/>
      <w:u w:val="single"/>
    </w:rPr>
  </w:style>
  <w:style w:type="character" w:customStyle="1" w:styleId="red1">
    <w:name w:val="red1"/>
    <w:basedOn w:val="DefaultParagraphFont"/>
    <w:rsid w:val="009B764C"/>
    <w:rPr>
      <w:b w:val="0"/>
      <w:bCs w:val="0"/>
      <w:color w:val="B00000"/>
    </w:rPr>
  </w:style>
  <w:style w:type="paragraph" w:styleId="ListParagraph">
    <w:name w:val="List Paragraph"/>
    <w:basedOn w:val="Normal"/>
    <w:uiPriority w:val="34"/>
    <w:qFormat/>
    <w:rsid w:val="00614FB0"/>
    <w:pPr>
      <w:ind w:left="720"/>
    </w:pPr>
  </w:style>
  <w:style w:type="character" w:customStyle="1" w:styleId="formreadonlycontrol1">
    <w:name w:val="formreadonlycontrol1"/>
    <w:basedOn w:val="DefaultParagraphFont"/>
    <w:rsid w:val="00376F61"/>
    <w:rPr>
      <w:color w:val="666666"/>
    </w:rPr>
  </w:style>
  <w:style w:type="character" w:customStyle="1" w:styleId="FooterChar">
    <w:name w:val="Footer Char"/>
    <w:basedOn w:val="DefaultParagraphFont"/>
    <w:link w:val="Footer"/>
    <w:uiPriority w:val="99"/>
    <w:rsid w:val="002731AA"/>
    <w:rPr>
      <w:sz w:val="24"/>
      <w:szCs w:val="24"/>
    </w:rPr>
  </w:style>
  <w:style w:type="paragraph" w:styleId="BodyTextIndent">
    <w:name w:val="Body Text Indent"/>
    <w:basedOn w:val="Normal"/>
    <w:link w:val="BodyTextIndentChar"/>
    <w:rsid w:val="00C24395"/>
    <w:pPr>
      <w:spacing w:after="120"/>
      <w:ind w:left="360"/>
    </w:pPr>
  </w:style>
  <w:style w:type="character" w:customStyle="1" w:styleId="BodyTextIndentChar">
    <w:name w:val="Body Text Indent Char"/>
    <w:basedOn w:val="DefaultParagraphFont"/>
    <w:link w:val="BodyTextIndent"/>
    <w:rsid w:val="00C24395"/>
    <w:rPr>
      <w:sz w:val="24"/>
      <w:szCs w:val="24"/>
    </w:rPr>
  </w:style>
  <w:style w:type="character" w:customStyle="1" w:styleId="BodyTextChar">
    <w:name w:val="Body Text Char"/>
    <w:basedOn w:val="DefaultParagraphFont"/>
    <w:link w:val="BodyText"/>
    <w:rsid w:val="003E26BD"/>
    <w:rPr>
      <w:sz w:val="24"/>
      <w:szCs w:val="24"/>
    </w:rPr>
  </w:style>
  <w:style w:type="character" w:customStyle="1" w:styleId="CommentTextChar">
    <w:name w:val="Comment Text Char"/>
    <w:basedOn w:val="DefaultParagraphFont"/>
    <w:link w:val="CommentText"/>
    <w:uiPriority w:val="99"/>
    <w:rsid w:val="00E0513D"/>
  </w:style>
  <w:style w:type="character" w:customStyle="1" w:styleId="BodyTextIndent2Char">
    <w:name w:val="Body Text Indent 2 Char"/>
    <w:basedOn w:val="DefaultParagraphFont"/>
    <w:link w:val="BodyTextIndent2"/>
    <w:rsid w:val="00DD4A17"/>
    <w:rPr>
      <w:sz w:val="24"/>
    </w:rPr>
  </w:style>
  <w:style w:type="character" w:customStyle="1" w:styleId="HeaderChar">
    <w:name w:val="Header Char"/>
    <w:basedOn w:val="DefaultParagraphFont"/>
    <w:link w:val="Header"/>
    <w:uiPriority w:val="99"/>
    <w:rsid w:val="005778D9"/>
    <w:rPr>
      <w:sz w:val="24"/>
      <w:szCs w:val="24"/>
    </w:rPr>
  </w:style>
  <w:style w:type="character" w:customStyle="1" w:styleId="Heading9Char">
    <w:name w:val="Heading 9 Char"/>
    <w:link w:val="Heading9"/>
    <w:rsid w:val="005F737B"/>
    <w:rPr>
      <w:sz w:val="24"/>
      <w:u w:val="single"/>
    </w:rPr>
  </w:style>
  <w:style w:type="paragraph" w:styleId="NoSpacing">
    <w:name w:val="No Spacing"/>
    <w:uiPriority w:val="1"/>
    <w:qFormat/>
    <w:rsid w:val="001B74A0"/>
    <w:rPr>
      <w:sz w:val="24"/>
      <w:szCs w:val="24"/>
    </w:rPr>
  </w:style>
  <w:style w:type="paragraph" w:styleId="Revision">
    <w:name w:val="Revision"/>
    <w:hidden/>
    <w:uiPriority w:val="99"/>
    <w:semiHidden/>
    <w:rsid w:val="00921D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48261">
      <w:bodyDiv w:val="1"/>
      <w:marLeft w:val="0"/>
      <w:marRight w:val="0"/>
      <w:marTop w:val="0"/>
      <w:marBottom w:val="0"/>
      <w:divBdr>
        <w:top w:val="none" w:sz="0" w:space="0" w:color="auto"/>
        <w:left w:val="none" w:sz="0" w:space="0" w:color="auto"/>
        <w:bottom w:val="none" w:sz="0" w:space="0" w:color="auto"/>
        <w:right w:val="none" w:sz="0" w:space="0" w:color="auto"/>
      </w:divBdr>
    </w:div>
    <w:div w:id="431827450">
      <w:bodyDiv w:val="1"/>
      <w:marLeft w:val="0"/>
      <w:marRight w:val="0"/>
      <w:marTop w:val="0"/>
      <w:marBottom w:val="0"/>
      <w:divBdr>
        <w:top w:val="none" w:sz="0" w:space="0" w:color="auto"/>
        <w:left w:val="none" w:sz="0" w:space="0" w:color="auto"/>
        <w:bottom w:val="none" w:sz="0" w:space="0" w:color="auto"/>
        <w:right w:val="none" w:sz="0" w:space="0" w:color="auto"/>
      </w:divBdr>
    </w:div>
    <w:div w:id="549537828">
      <w:bodyDiv w:val="1"/>
      <w:marLeft w:val="0"/>
      <w:marRight w:val="0"/>
      <w:marTop w:val="0"/>
      <w:marBottom w:val="0"/>
      <w:divBdr>
        <w:top w:val="none" w:sz="0" w:space="0" w:color="auto"/>
        <w:left w:val="none" w:sz="0" w:space="0" w:color="auto"/>
        <w:bottom w:val="none" w:sz="0" w:space="0" w:color="auto"/>
        <w:right w:val="none" w:sz="0" w:space="0" w:color="auto"/>
      </w:divBdr>
      <w:divsChild>
        <w:div w:id="1467702843">
          <w:marLeft w:val="270"/>
          <w:marRight w:val="240"/>
          <w:marTop w:val="240"/>
          <w:marBottom w:val="240"/>
          <w:divBdr>
            <w:top w:val="none" w:sz="0" w:space="0" w:color="auto"/>
            <w:left w:val="none" w:sz="0" w:space="0" w:color="auto"/>
            <w:bottom w:val="none" w:sz="0" w:space="0" w:color="auto"/>
            <w:right w:val="none" w:sz="0" w:space="0" w:color="auto"/>
          </w:divBdr>
        </w:div>
      </w:divsChild>
    </w:div>
    <w:div w:id="735395455">
      <w:bodyDiv w:val="1"/>
      <w:marLeft w:val="0"/>
      <w:marRight w:val="0"/>
      <w:marTop w:val="0"/>
      <w:marBottom w:val="0"/>
      <w:divBdr>
        <w:top w:val="none" w:sz="0" w:space="0" w:color="auto"/>
        <w:left w:val="none" w:sz="0" w:space="0" w:color="auto"/>
        <w:bottom w:val="none" w:sz="0" w:space="0" w:color="auto"/>
        <w:right w:val="none" w:sz="0" w:space="0" w:color="auto"/>
      </w:divBdr>
      <w:divsChild>
        <w:div w:id="471169929">
          <w:marLeft w:val="270"/>
          <w:marRight w:val="240"/>
          <w:marTop w:val="240"/>
          <w:marBottom w:val="240"/>
          <w:divBdr>
            <w:top w:val="none" w:sz="0" w:space="0" w:color="auto"/>
            <w:left w:val="none" w:sz="0" w:space="0" w:color="auto"/>
            <w:bottom w:val="none" w:sz="0" w:space="0" w:color="auto"/>
            <w:right w:val="none" w:sz="0" w:space="0" w:color="auto"/>
          </w:divBdr>
        </w:div>
      </w:divsChild>
    </w:div>
    <w:div w:id="920987174">
      <w:bodyDiv w:val="1"/>
      <w:marLeft w:val="0"/>
      <w:marRight w:val="0"/>
      <w:marTop w:val="0"/>
      <w:marBottom w:val="0"/>
      <w:divBdr>
        <w:top w:val="none" w:sz="0" w:space="0" w:color="auto"/>
        <w:left w:val="none" w:sz="0" w:space="0" w:color="auto"/>
        <w:bottom w:val="none" w:sz="0" w:space="0" w:color="auto"/>
        <w:right w:val="none" w:sz="0" w:space="0" w:color="auto"/>
      </w:divBdr>
    </w:div>
    <w:div w:id="1029913747">
      <w:bodyDiv w:val="1"/>
      <w:marLeft w:val="0"/>
      <w:marRight w:val="0"/>
      <w:marTop w:val="0"/>
      <w:marBottom w:val="0"/>
      <w:divBdr>
        <w:top w:val="none" w:sz="0" w:space="0" w:color="auto"/>
        <w:left w:val="none" w:sz="0" w:space="0" w:color="auto"/>
        <w:bottom w:val="none" w:sz="0" w:space="0" w:color="auto"/>
        <w:right w:val="none" w:sz="0" w:space="0" w:color="auto"/>
      </w:divBdr>
    </w:div>
    <w:div w:id="1348095923">
      <w:bodyDiv w:val="1"/>
      <w:marLeft w:val="0"/>
      <w:marRight w:val="0"/>
      <w:marTop w:val="0"/>
      <w:marBottom w:val="0"/>
      <w:divBdr>
        <w:top w:val="none" w:sz="0" w:space="0" w:color="auto"/>
        <w:left w:val="none" w:sz="0" w:space="0" w:color="auto"/>
        <w:bottom w:val="none" w:sz="0" w:space="0" w:color="auto"/>
        <w:right w:val="none" w:sz="0" w:space="0" w:color="auto"/>
      </w:divBdr>
    </w:div>
    <w:div w:id="1428039926">
      <w:bodyDiv w:val="1"/>
      <w:marLeft w:val="0"/>
      <w:marRight w:val="0"/>
      <w:marTop w:val="0"/>
      <w:marBottom w:val="0"/>
      <w:divBdr>
        <w:top w:val="none" w:sz="0" w:space="0" w:color="auto"/>
        <w:left w:val="none" w:sz="0" w:space="0" w:color="auto"/>
        <w:bottom w:val="none" w:sz="0" w:space="0" w:color="auto"/>
        <w:right w:val="none" w:sz="0" w:space="0" w:color="auto"/>
      </w:divBdr>
    </w:div>
    <w:div w:id="16205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DAA42-FC63-463D-9605-0DC6F7E40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1754</Words>
  <Characters>9797</Characters>
  <Application>Microsoft Office Word</Application>
  <DocSecurity>4</DocSecurity>
  <Lines>349</Lines>
  <Paragraphs>199</Paragraphs>
  <ScaleCrop>false</ScaleCrop>
  <HeadingPairs>
    <vt:vector size="2" baseType="variant">
      <vt:variant>
        <vt:lpstr>Title</vt:lpstr>
      </vt:variant>
      <vt:variant>
        <vt:i4>1</vt:i4>
      </vt:variant>
    </vt:vector>
  </HeadingPairs>
  <TitlesOfParts>
    <vt:vector size="1" baseType="lpstr">
      <vt:lpstr>BEFORE THE NATIONAL ADJUDICATORY COUNCIL</vt:lpstr>
    </vt:vector>
  </TitlesOfParts>
  <Company>NASD</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NATIONAL ADJUDICATORY COUNCIL</dc:title>
  <dc:creator>Evan Dean</dc:creator>
  <cp:lastModifiedBy>Parker, Michelle</cp:lastModifiedBy>
  <cp:revision>2</cp:revision>
  <cp:lastPrinted>2023-08-09T17:48:00Z</cp:lastPrinted>
  <dcterms:created xsi:type="dcterms:W3CDTF">2023-09-14T16:53:00Z</dcterms:created>
  <dcterms:modified xsi:type="dcterms:W3CDTF">2023-09-14T16:53:00Z</dcterms:modified>
</cp:coreProperties>
</file>